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3AF05">
      <w:pPr>
        <w:widowControl/>
        <w:ind w:firstLine="0" w:firstLineChars="0"/>
        <w:jc w:val="left"/>
        <w:rPr>
          <w:rFonts w:ascii="宋体" w:hAnsi="宋体" w:cs="Times New Roman"/>
          <w:b/>
          <w:sz w:val="48"/>
          <w:szCs w:val="48"/>
        </w:rPr>
      </w:pPr>
      <w:bookmarkStart w:id="0" w:name="_top"/>
      <w:bookmarkEnd w:id="0"/>
      <w:bookmarkStart w:id="1" w:name="_Toc49527796"/>
    </w:p>
    <w:p w14:paraId="436E31AD">
      <w:pPr>
        <w:widowControl/>
        <w:ind w:firstLine="0" w:firstLineChars="0"/>
        <w:jc w:val="center"/>
        <w:rPr>
          <w:rFonts w:ascii="黑体" w:hAnsi="黑体" w:eastAsia="黑体" w:cs="Times New Roman"/>
          <w:b/>
          <w:sz w:val="48"/>
          <w:szCs w:val="48"/>
        </w:rPr>
      </w:pPr>
    </w:p>
    <w:p w14:paraId="14135B75">
      <w:pPr>
        <w:widowControl/>
        <w:ind w:firstLine="0" w:firstLineChars="0"/>
        <w:jc w:val="center"/>
        <w:rPr>
          <w:rFonts w:hint="eastAsia" w:ascii="黑体" w:hAnsi="黑体" w:eastAsia="黑体" w:cs="Times New Roman"/>
          <w:b/>
          <w:sz w:val="56"/>
          <w:szCs w:val="56"/>
          <w:u w:val="single"/>
          <w:lang w:eastAsia="zh-CN"/>
        </w:rPr>
      </w:pPr>
      <w:r>
        <w:rPr>
          <w:rFonts w:hint="eastAsia" w:ascii="黑体" w:hAnsi="黑体" w:eastAsia="黑体" w:cs="Times New Roman"/>
          <w:b/>
          <w:sz w:val="56"/>
          <w:szCs w:val="56"/>
          <w:u w:val="single"/>
          <w:lang w:eastAsia="zh-CN"/>
        </w:rPr>
        <w:t>广州空港经济区拆迁安置区（花东安置区）教育配套设施建设项目</w:t>
      </w:r>
    </w:p>
    <w:p w14:paraId="45A85877">
      <w:pPr>
        <w:widowControl/>
        <w:ind w:firstLine="0" w:firstLineChars="0"/>
        <w:jc w:val="center"/>
        <w:rPr>
          <w:rFonts w:hint="default" w:ascii="宋体" w:hAnsi="宋体" w:eastAsia="宋体" w:cs="Times New Roman"/>
          <w:b/>
          <w:sz w:val="72"/>
          <w:szCs w:val="72"/>
          <w:lang w:val="en-US" w:eastAsia="zh-CN"/>
        </w:rPr>
      </w:pPr>
      <w:r>
        <w:rPr>
          <w:rFonts w:hint="eastAsia" w:ascii="宋体" w:hAnsi="宋体" w:cs="Times New Roman"/>
          <w:b/>
          <w:sz w:val="72"/>
          <w:szCs w:val="72"/>
          <w:lang w:val="en-US" w:eastAsia="zh-CN"/>
        </w:rPr>
        <w:t>施工图</w:t>
      </w:r>
    </w:p>
    <w:p w14:paraId="6656B993">
      <w:pPr>
        <w:widowControl/>
        <w:ind w:firstLine="0" w:firstLineChars="0"/>
        <w:jc w:val="center"/>
        <w:rPr>
          <w:rFonts w:ascii="宋体" w:hAnsi="宋体" w:cs="Times New Roman"/>
          <w:b/>
          <w:sz w:val="48"/>
          <w:szCs w:val="48"/>
        </w:rPr>
      </w:pPr>
    </w:p>
    <w:p w14:paraId="281A2F45">
      <w:pPr>
        <w:widowControl/>
        <w:ind w:firstLine="0" w:firstLineChars="0"/>
        <w:jc w:val="center"/>
        <w:rPr>
          <w:rFonts w:ascii="宋体" w:hAnsi="宋体" w:cs="Times New Roman"/>
          <w:b/>
          <w:sz w:val="48"/>
          <w:szCs w:val="48"/>
        </w:rPr>
      </w:pPr>
    </w:p>
    <w:p w14:paraId="0147D928">
      <w:pPr>
        <w:widowControl/>
        <w:ind w:firstLine="0" w:firstLineChars="0"/>
        <w:jc w:val="center"/>
        <w:rPr>
          <w:rFonts w:ascii="宋体" w:hAnsi="宋体" w:cs="Times New Roman"/>
          <w:b/>
          <w:sz w:val="48"/>
          <w:szCs w:val="48"/>
        </w:rPr>
      </w:pPr>
    </w:p>
    <w:p w14:paraId="0F942F01">
      <w:pPr>
        <w:widowControl/>
        <w:ind w:firstLine="0" w:firstLineChars="0"/>
        <w:jc w:val="center"/>
        <w:rPr>
          <w:rFonts w:ascii="宋体" w:hAnsi="宋体" w:cs="Times New Roman"/>
          <w:b/>
          <w:sz w:val="48"/>
          <w:szCs w:val="48"/>
        </w:rPr>
      </w:pPr>
      <w:r>
        <w:rPr>
          <w:rFonts w:hint="eastAsia" w:ascii="宋体" w:hAnsi="宋体" w:cs="Times New Roman"/>
          <w:b/>
          <w:sz w:val="48"/>
          <w:szCs w:val="48"/>
        </w:rPr>
        <w:t>工程编号:202308079A</w:t>
      </w:r>
    </w:p>
    <w:p w14:paraId="42DBF109">
      <w:pPr>
        <w:widowControl/>
        <w:ind w:firstLine="0" w:firstLineChars="0"/>
        <w:jc w:val="center"/>
        <w:rPr>
          <w:rFonts w:ascii="宋体" w:hAnsi="宋体" w:cs="Times New Roman"/>
          <w:b/>
          <w:sz w:val="48"/>
          <w:szCs w:val="48"/>
        </w:rPr>
      </w:pPr>
      <w:r>
        <w:rPr>
          <w:rFonts w:hint="eastAsia" w:ascii="宋体" w:hAnsi="宋体" w:cs="Times New Roman"/>
          <w:b/>
          <w:sz w:val="48"/>
          <w:szCs w:val="48"/>
        </w:rPr>
        <w:t>第</w:t>
      </w:r>
      <w:r>
        <w:rPr>
          <w:rFonts w:hint="eastAsia" w:ascii="宋体" w:hAnsi="宋体" w:cs="Times New Roman"/>
          <w:b/>
          <w:sz w:val="48"/>
          <w:szCs w:val="48"/>
          <w:lang w:val="en-US" w:eastAsia="zh-CN"/>
        </w:rPr>
        <w:t>七</w:t>
      </w:r>
      <w:r>
        <w:rPr>
          <w:rFonts w:hint="eastAsia" w:ascii="宋体" w:hAnsi="宋体" w:cs="Times New Roman"/>
          <w:b/>
          <w:sz w:val="48"/>
          <w:szCs w:val="48"/>
        </w:rPr>
        <w:t>册:市政绿化工程</w:t>
      </w:r>
    </w:p>
    <w:p w14:paraId="0ABABE8A">
      <w:pPr>
        <w:widowControl/>
        <w:ind w:firstLine="0" w:firstLineChars="0"/>
        <w:jc w:val="center"/>
        <w:rPr>
          <w:rFonts w:ascii="宋体" w:hAnsi="宋体" w:cs="Times New Roman"/>
          <w:b/>
          <w:sz w:val="48"/>
          <w:szCs w:val="48"/>
        </w:rPr>
      </w:pPr>
      <w:r>
        <w:rPr>
          <w:rFonts w:hint="eastAsia" w:ascii="宋体" w:hAnsi="宋体" w:cs="Times New Roman"/>
          <w:b/>
          <w:sz w:val="48"/>
          <w:szCs w:val="48"/>
        </w:rPr>
        <w:t>共</w:t>
      </w:r>
      <w:r>
        <w:rPr>
          <w:rFonts w:hint="eastAsia" w:ascii="宋体" w:hAnsi="宋体" w:cs="Times New Roman"/>
          <w:b/>
          <w:sz w:val="48"/>
          <w:szCs w:val="48"/>
          <w:lang w:val="en-US" w:eastAsia="zh-CN"/>
        </w:rPr>
        <w:t>八</w:t>
      </w:r>
      <w:r>
        <w:rPr>
          <w:rFonts w:hint="eastAsia" w:ascii="宋体" w:hAnsi="宋体" w:cs="Times New Roman"/>
          <w:b/>
          <w:sz w:val="48"/>
          <w:szCs w:val="48"/>
        </w:rPr>
        <w:t>册</w:t>
      </w:r>
    </w:p>
    <w:p w14:paraId="392C668F">
      <w:pPr>
        <w:widowControl/>
        <w:ind w:firstLine="0" w:firstLineChars="0"/>
        <w:jc w:val="center"/>
        <w:rPr>
          <w:rFonts w:ascii="宋体" w:hAnsi="宋体" w:cs="Times New Roman"/>
          <w:b/>
          <w:sz w:val="48"/>
          <w:szCs w:val="48"/>
        </w:rPr>
      </w:pPr>
    </w:p>
    <w:p w14:paraId="77675F27">
      <w:pPr>
        <w:widowControl/>
        <w:ind w:firstLine="0" w:firstLineChars="0"/>
        <w:jc w:val="center"/>
        <w:rPr>
          <w:rFonts w:ascii="宋体" w:hAnsi="宋体" w:cs="Times New Roman"/>
          <w:b/>
          <w:sz w:val="48"/>
          <w:szCs w:val="48"/>
        </w:rPr>
      </w:pPr>
    </w:p>
    <w:p w14:paraId="4CBA7B6B">
      <w:pPr>
        <w:widowControl/>
        <w:ind w:firstLine="0" w:firstLineChars="0"/>
        <w:jc w:val="center"/>
        <w:rPr>
          <w:rFonts w:ascii="宋体" w:hAnsi="宋体" w:cs="Times New Roman"/>
          <w:b/>
          <w:sz w:val="48"/>
          <w:szCs w:val="48"/>
        </w:rPr>
      </w:pPr>
    </w:p>
    <w:p w14:paraId="53BA47E3">
      <w:pPr>
        <w:widowControl/>
        <w:ind w:firstLine="0" w:firstLineChars="0"/>
        <w:jc w:val="left"/>
        <w:rPr>
          <w:rFonts w:ascii="宋体" w:hAnsi="宋体" w:cs="Times New Roman"/>
          <w:b/>
          <w:sz w:val="48"/>
          <w:szCs w:val="48"/>
        </w:rPr>
      </w:pPr>
    </w:p>
    <w:p w14:paraId="2C64BEE2">
      <w:pPr>
        <w:widowControl/>
        <w:ind w:firstLine="0" w:firstLineChars="0"/>
        <w:jc w:val="center"/>
        <w:rPr>
          <w:rFonts w:ascii="宋体" w:hAnsi="宋体" w:cs="Times New Roman"/>
          <w:b/>
          <w:sz w:val="48"/>
          <w:szCs w:val="48"/>
        </w:rPr>
      </w:pPr>
      <w:bookmarkStart w:id="20" w:name="_GoBack"/>
      <w:r>
        <w:drawing>
          <wp:inline distT="0" distB="0" distL="114300" distR="114300">
            <wp:extent cx="5400040" cy="1143000"/>
            <wp:effectExtent l="0" t="0" r="1016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5400040" cy="1143000"/>
                    </a:xfrm>
                    <a:prstGeom prst="rect">
                      <a:avLst/>
                    </a:prstGeom>
                    <a:noFill/>
                    <a:ln>
                      <a:noFill/>
                    </a:ln>
                  </pic:spPr>
                </pic:pic>
              </a:graphicData>
            </a:graphic>
          </wp:inline>
        </w:drawing>
      </w:r>
      <w:bookmarkEnd w:id="20"/>
    </w:p>
    <w:p w14:paraId="2FFBC1C3">
      <w:pPr>
        <w:widowControl/>
        <w:ind w:firstLine="0" w:firstLineChars="0"/>
        <w:jc w:val="center"/>
        <w:rPr>
          <w:rFonts w:ascii="宋体" w:hAnsi="宋体" w:cs="Times New Roman"/>
          <w:b/>
          <w:sz w:val="32"/>
          <w:szCs w:val="32"/>
        </w:rPr>
      </w:pPr>
    </w:p>
    <w:p w14:paraId="684531A0">
      <w:pPr>
        <w:widowControl/>
        <w:ind w:firstLine="0" w:firstLineChars="0"/>
        <w:jc w:val="center"/>
        <w:rPr>
          <w:rFonts w:hint="eastAsia" w:ascii="宋体" w:hAnsi="宋体" w:eastAsia="宋体" w:cs="Times New Roman"/>
          <w:b/>
          <w:sz w:val="32"/>
          <w:szCs w:val="32"/>
          <w:lang w:val="en-US" w:eastAsia="zh-CN"/>
        </w:rPr>
      </w:pPr>
      <w:r>
        <w:rPr>
          <w:rFonts w:hint="eastAsia" w:ascii="宋体" w:hAnsi="宋体" w:cs="Times New Roman"/>
          <w:b/>
          <w:sz w:val="32"/>
          <w:szCs w:val="32"/>
          <w:lang w:eastAsia="zh-CN"/>
        </w:rPr>
        <w:t>2025-03</w:t>
      </w:r>
    </w:p>
    <w:p w14:paraId="418DB485">
      <w:pPr>
        <w:widowControl/>
        <w:ind w:firstLine="0" w:firstLineChars="0"/>
        <w:jc w:val="left"/>
        <w:rPr>
          <w:rFonts w:ascii="宋体" w:hAnsi="宋体" w:cs="Times New Roman"/>
          <w:b/>
          <w:sz w:val="48"/>
          <w:szCs w:val="48"/>
        </w:rPr>
      </w:pPr>
      <w:r>
        <w:rPr>
          <w:rFonts w:ascii="黑体" w:hAnsi="Calibri" w:eastAsia="黑体" w:cs="Times New Roman"/>
          <w:b/>
          <w:sz w:val="48"/>
          <w:szCs w:val="48"/>
        </w:rPr>
        <w:br w:type="page"/>
      </w:r>
    </w:p>
    <w:p w14:paraId="745333A5">
      <w:pPr>
        <w:widowControl/>
        <w:ind w:firstLine="0" w:firstLineChars="0"/>
        <w:jc w:val="center"/>
        <w:rPr>
          <w:rFonts w:ascii="黑体" w:hAnsi="黑体" w:eastAsia="黑体" w:cs="Times New Roman"/>
          <w:b/>
          <w:sz w:val="48"/>
          <w:szCs w:val="48"/>
        </w:rPr>
      </w:pPr>
    </w:p>
    <w:p w14:paraId="36F13F45">
      <w:pPr>
        <w:widowControl/>
        <w:ind w:firstLine="0" w:firstLineChars="0"/>
        <w:jc w:val="center"/>
        <w:rPr>
          <w:rFonts w:ascii="黑体" w:hAnsi="黑体" w:eastAsia="黑体" w:cs="Times New Roman"/>
          <w:b/>
          <w:sz w:val="48"/>
          <w:szCs w:val="48"/>
        </w:rPr>
      </w:pPr>
    </w:p>
    <w:p w14:paraId="60151D7F">
      <w:pPr>
        <w:widowControl/>
        <w:ind w:firstLine="0" w:firstLineChars="0"/>
        <w:jc w:val="center"/>
        <w:rPr>
          <w:rFonts w:hint="eastAsia" w:ascii="黑体" w:hAnsi="黑体" w:eastAsia="黑体" w:cs="Times New Roman"/>
          <w:b/>
          <w:sz w:val="56"/>
          <w:szCs w:val="56"/>
          <w:u w:val="single"/>
          <w:lang w:eastAsia="zh-CN"/>
        </w:rPr>
      </w:pPr>
      <w:r>
        <w:rPr>
          <w:rFonts w:hint="eastAsia" w:ascii="黑体" w:hAnsi="黑体" w:eastAsia="黑体" w:cs="Times New Roman"/>
          <w:b/>
          <w:sz w:val="56"/>
          <w:szCs w:val="56"/>
          <w:u w:val="single"/>
          <w:lang w:eastAsia="zh-CN"/>
        </w:rPr>
        <w:t>广州空港经济区拆迁安置区（花东安置区）教育配套设施建设项目</w:t>
      </w:r>
    </w:p>
    <w:p w14:paraId="25196C67">
      <w:pPr>
        <w:widowControl/>
        <w:ind w:firstLine="0" w:firstLineChars="0"/>
        <w:jc w:val="center"/>
        <w:rPr>
          <w:rFonts w:hint="default" w:ascii="宋体" w:hAnsi="宋体" w:eastAsia="宋体" w:cs="Times New Roman"/>
          <w:b/>
          <w:sz w:val="72"/>
          <w:szCs w:val="72"/>
          <w:lang w:val="en-US" w:eastAsia="zh-CN"/>
        </w:rPr>
      </w:pPr>
      <w:r>
        <w:rPr>
          <w:rFonts w:hint="eastAsia" w:ascii="宋体" w:hAnsi="宋体" w:cs="Times New Roman"/>
          <w:b/>
          <w:sz w:val="72"/>
          <w:szCs w:val="72"/>
          <w:lang w:val="en-US" w:eastAsia="zh-CN"/>
        </w:rPr>
        <w:t>施工图</w:t>
      </w:r>
    </w:p>
    <w:p w14:paraId="5B606809">
      <w:pPr>
        <w:widowControl/>
        <w:ind w:firstLine="0" w:firstLineChars="0"/>
        <w:jc w:val="center"/>
        <w:rPr>
          <w:rFonts w:ascii="宋体" w:hAnsi="宋体" w:cs="Times New Roman"/>
          <w:b/>
          <w:sz w:val="48"/>
          <w:szCs w:val="48"/>
        </w:rPr>
      </w:pPr>
    </w:p>
    <w:p w14:paraId="1C83F917">
      <w:pPr>
        <w:widowControl/>
        <w:ind w:firstLine="0" w:firstLineChars="0"/>
        <w:jc w:val="center"/>
        <w:rPr>
          <w:rFonts w:ascii="宋体" w:hAnsi="宋体" w:cs="Times New Roman"/>
          <w:b/>
          <w:sz w:val="48"/>
          <w:szCs w:val="48"/>
        </w:rPr>
      </w:pPr>
    </w:p>
    <w:p w14:paraId="0DF79657">
      <w:pPr>
        <w:widowControl/>
        <w:ind w:firstLine="0" w:firstLineChars="0"/>
        <w:jc w:val="center"/>
        <w:rPr>
          <w:rFonts w:ascii="宋体" w:hAnsi="宋体" w:cs="Times New Roman"/>
          <w:b/>
          <w:sz w:val="48"/>
          <w:szCs w:val="48"/>
        </w:rPr>
      </w:pPr>
    </w:p>
    <w:p w14:paraId="6E4F36CF">
      <w:pPr>
        <w:widowControl/>
        <w:spacing w:line="1000" w:lineRule="exact"/>
        <w:ind w:firstLine="7560" w:firstLineChars="2100"/>
        <w:rPr>
          <w:rFonts w:ascii="宋体" w:hAnsi="宋体" w:cs="Times New Roman"/>
          <w:bCs/>
          <w:sz w:val="36"/>
          <w:szCs w:val="36"/>
        </w:rPr>
      </w:pPr>
      <w:r>
        <w:rPr>
          <w:rFonts w:hint="eastAsia" w:ascii="宋体" w:hAnsi="宋体" w:cs="Times New Roman"/>
          <w:bCs/>
          <w:sz w:val="36"/>
          <w:szCs w:val="36"/>
        </w:rPr>
        <w:t xml:space="preserve">审 </w:t>
      </w:r>
      <w:r>
        <w:rPr>
          <w:rFonts w:ascii="宋体" w:hAnsi="宋体" w:cs="Times New Roman"/>
          <w:bCs/>
          <w:sz w:val="36"/>
          <w:szCs w:val="36"/>
        </w:rPr>
        <w:t xml:space="preserve">     </w:t>
      </w:r>
      <w:r>
        <w:rPr>
          <w:rFonts w:hint="eastAsia" w:ascii="宋体" w:hAnsi="宋体" w:cs="Times New Roman"/>
          <w:bCs/>
          <w:sz w:val="36"/>
          <w:szCs w:val="36"/>
        </w:rPr>
        <w:t>定：吴子儒</w:t>
      </w:r>
      <w:r>
        <w:rPr>
          <w:rFonts w:ascii="宋体" w:hAnsi="宋体" w:cs="Times New Roman"/>
          <w:bCs/>
          <w:sz w:val="36"/>
          <w:szCs w:val="36"/>
        </w:rPr>
        <w:t xml:space="preserve">          </w:t>
      </w:r>
    </w:p>
    <w:p w14:paraId="6FF68DAB">
      <w:pPr>
        <w:widowControl/>
        <w:spacing w:line="1000" w:lineRule="exact"/>
        <w:ind w:firstLine="7560" w:firstLineChars="2100"/>
        <w:rPr>
          <w:rFonts w:ascii="宋体" w:hAnsi="宋体" w:cs="Times New Roman"/>
          <w:bCs/>
          <w:sz w:val="36"/>
          <w:szCs w:val="36"/>
        </w:rPr>
      </w:pPr>
      <w:r>
        <w:rPr>
          <w:rFonts w:hint="eastAsia" w:ascii="宋体" w:hAnsi="宋体" w:cs="Times New Roman"/>
          <w:bCs/>
          <w:sz w:val="36"/>
          <w:szCs w:val="36"/>
        </w:rPr>
        <w:t xml:space="preserve">审 </w:t>
      </w:r>
      <w:r>
        <w:rPr>
          <w:rFonts w:ascii="宋体" w:hAnsi="宋体" w:cs="Times New Roman"/>
          <w:bCs/>
          <w:sz w:val="36"/>
          <w:szCs w:val="36"/>
        </w:rPr>
        <w:t xml:space="preserve">     </w:t>
      </w:r>
      <w:r>
        <w:rPr>
          <w:rFonts w:hint="eastAsia" w:ascii="宋体" w:hAnsi="宋体" w:cs="Times New Roman"/>
          <w:bCs/>
          <w:sz w:val="36"/>
          <w:szCs w:val="36"/>
        </w:rPr>
        <w:t xml:space="preserve">核：李建军 </w:t>
      </w:r>
      <w:r>
        <w:rPr>
          <w:rFonts w:ascii="宋体" w:hAnsi="宋体" w:cs="Times New Roman"/>
          <w:bCs/>
          <w:sz w:val="36"/>
          <w:szCs w:val="36"/>
        </w:rPr>
        <w:t xml:space="preserve">            </w:t>
      </w:r>
    </w:p>
    <w:p w14:paraId="60A5DDAB">
      <w:pPr>
        <w:widowControl/>
        <w:spacing w:line="1000" w:lineRule="exact"/>
        <w:ind w:firstLine="7560" w:firstLineChars="2100"/>
        <w:rPr>
          <w:rFonts w:ascii="宋体" w:hAnsi="宋体" w:cs="Times New Roman"/>
          <w:bCs/>
          <w:sz w:val="36"/>
          <w:szCs w:val="36"/>
        </w:rPr>
      </w:pPr>
      <w:r>
        <w:rPr>
          <w:rFonts w:hint="eastAsia" w:ascii="宋体" w:hAnsi="宋体" w:cs="Times New Roman"/>
          <w:bCs/>
          <w:sz w:val="36"/>
          <w:szCs w:val="36"/>
        </w:rPr>
        <w:t>项目总负责：</w:t>
      </w:r>
      <w:r>
        <w:rPr>
          <w:rFonts w:hint="eastAsia" w:ascii="宋体" w:hAnsi="宋体" w:cs="Times New Roman"/>
          <w:bCs/>
          <w:spacing w:val="180"/>
          <w:kern w:val="0"/>
          <w:sz w:val="36"/>
          <w:szCs w:val="36"/>
          <w:fitText w:val="1080" w:id="274665662"/>
        </w:rPr>
        <w:t>陈</w:t>
      </w:r>
      <w:r>
        <w:rPr>
          <w:rFonts w:hint="eastAsia" w:ascii="宋体" w:hAnsi="宋体" w:cs="Times New Roman"/>
          <w:bCs/>
          <w:spacing w:val="0"/>
          <w:kern w:val="0"/>
          <w:sz w:val="36"/>
          <w:szCs w:val="36"/>
          <w:fitText w:val="1080" w:id="274665662"/>
        </w:rPr>
        <w:t>军</w:t>
      </w:r>
      <w:r>
        <w:rPr>
          <w:rFonts w:hint="eastAsia" w:ascii="宋体" w:hAnsi="宋体" w:cs="Times New Roman"/>
          <w:bCs/>
          <w:sz w:val="36"/>
          <w:szCs w:val="36"/>
        </w:rPr>
        <w:t xml:space="preserve"> </w:t>
      </w:r>
      <w:r>
        <w:rPr>
          <w:rFonts w:ascii="宋体" w:hAnsi="宋体" w:cs="Times New Roman"/>
          <w:bCs/>
          <w:sz w:val="36"/>
          <w:szCs w:val="36"/>
        </w:rPr>
        <w:t xml:space="preserve">         </w:t>
      </w:r>
    </w:p>
    <w:p w14:paraId="5635CF66">
      <w:pPr>
        <w:widowControl/>
        <w:ind w:firstLine="0" w:firstLineChars="0"/>
        <w:jc w:val="left"/>
        <w:rPr>
          <w:rFonts w:ascii="宋体" w:hAnsi="宋体" w:cs="Times New Roman"/>
          <w:b/>
          <w:sz w:val="48"/>
          <w:szCs w:val="48"/>
        </w:rPr>
      </w:pPr>
    </w:p>
    <w:p w14:paraId="69625392">
      <w:pPr>
        <w:widowControl/>
        <w:ind w:firstLine="0" w:firstLineChars="0"/>
        <w:jc w:val="left"/>
        <w:rPr>
          <w:rFonts w:ascii="宋体" w:hAnsi="宋体" w:cs="Times New Roman"/>
          <w:b/>
          <w:sz w:val="48"/>
          <w:szCs w:val="48"/>
        </w:rPr>
      </w:pPr>
    </w:p>
    <w:p w14:paraId="7C2CE7DE">
      <w:pPr>
        <w:widowControl/>
        <w:ind w:firstLine="0" w:firstLineChars="0"/>
        <w:jc w:val="center"/>
        <w:rPr>
          <w:rFonts w:ascii="宋体" w:hAnsi="宋体" w:cs="Times New Roman"/>
          <w:b/>
          <w:sz w:val="48"/>
          <w:szCs w:val="48"/>
        </w:rPr>
      </w:pPr>
      <w:r>
        <w:drawing>
          <wp:inline distT="0" distB="0" distL="114300" distR="114300">
            <wp:extent cx="5400040" cy="1143000"/>
            <wp:effectExtent l="0" t="0" r="1016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8"/>
                    <a:stretch>
                      <a:fillRect/>
                    </a:stretch>
                  </pic:blipFill>
                  <pic:spPr>
                    <a:xfrm>
                      <a:off x="0" y="0"/>
                      <a:ext cx="5400040" cy="1143000"/>
                    </a:xfrm>
                    <a:prstGeom prst="rect">
                      <a:avLst/>
                    </a:prstGeom>
                    <a:noFill/>
                    <a:ln>
                      <a:noFill/>
                    </a:ln>
                  </pic:spPr>
                </pic:pic>
              </a:graphicData>
            </a:graphic>
          </wp:inline>
        </w:drawing>
      </w:r>
    </w:p>
    <w:p w14:paraId="61C83C10">
      <w:pPr>
        <w:widowControl/>
        <w:ind w:firstLine="0" w:firstLineChars="0"/>
        <w:jc w:val="center"/>
        <w:rPr>
          <w:rFonts w:ascii="宋体" w:hAnsi="宋体" w:cs="Times New Roman"/>
          <w:b/>
          <w:sz w:val="32"/>
          <w:szCs w:val="32"/>
        </w:rPr>
      </w:pPr>
    </w:p>
    <w:p w14:paraId="13D73CF6">
      <w:pPr>
        <w:widowControl/>
        <w:ind w:firstLine="0" w:firstLineChars="0"/>
        <w:jc w:val="center"/>
        <w:rPr>
          <w:rFonts w:hint="eastAsia" w:ascii="黑体" w:hAnsi="Calibri" w:eastAsia="宋体" w:cs="Times New Roman"/>
          <w:b/>
          <w:sz w:val="48"/>
          <w:szCs w:val="48"/>
          <w:lang w:val="en-US" w:eastAsia="zh-CN"/>
        </w:rPr>
      </w:pPr>
      <w:r>
        <w:rPr>
          <w:rFonts w:hint="eastAsia" w:ascii="宋体" w:hAnsi="宋体" w:cs="Times New Roman"/>
          <w:b/>
          <w:sz w:val="32"/>
          <w:szCs w:val="32"/>
          <w:lang w:eastAsia="zh-CN"/>
        </w:rPr>
        <w:t>2025-03</w:t>
      </w:r>
    </w:p>
    <w:p w14:paraId="03615A67">
      <w:pPr>
        <w:ind w:firstLine="0" w:firstLineChars="0"/>
        <w:jc w:val="center"/>
        <w:rPr>
          <w:b/>
          <w:bCs/>
          <w:sz w:val="36"/>
          <w:szCs w:val="36"/>
        </w:rPr>
      </w:pPr>
    </w:p>
    <w:p w14:paraId="329CA397">
      <w:pPr>
        <w:ind w:firstLine="0" w:firstLineChars="0"/>
        <w:jc w:val="center"/>
        <w:rPr>
          <w:b/>
          <w:bCs/>
          <w:sz w:val="36"/>
          <w:szCs w:val="36"/>
        </w:rPr>
        <w:sectPr>
          <w:headerReference r:id="rId7" w:type="first"/>
          <w:footerReference r:id="rId10" w:type="first"/>
          <w:headerReference r:id="rId5" w:type="default"/>
          <w:footerReference r:id="rId8" w:type="default"/>
          <w:headerReference r:id="rId6" w:type="even"/>
          <w:footerReference r:id="rId9" w:type="even"/>
          <w:pgSz w:w="23811" w:h="16838" w:orient="landscape"/>
          <w:pgMar w:top="1418" w:right="1440" w:bottom="1134" w:left="1440" w:header="680" w:footer="737" w:gutter="0"/>
          <w:cols w:space="1201" w:num="1"/>
          <w:docGrid w:type="lines" w:linePitch="326" w:charSpace="0"/>
        </w:sectPr>
      </w:pPr>
    </w:p>
    <w:sdt>
      <w:sdtPr>
        <w:rPr>
          <w:b w:val="0"/>
          <w:bCs w:val="0"/>
          <w:kern w:val="2"/>
          <w:sz w:val="24"/>
          <w:szCs w:val="22"/>
          <w:lang w:val="zh-CN"/>
        </w:rPr>
        <w:id w:val="-2100085999"/>
        <w:docPartObj>
          <w:docPartGallery w:val="Table of Contents"/>
          <w:docPartUnique/>
        </w:docPartObj>
      </w:sdtPr>
      <w:sdtEndPr>
        <w:rPr>
          <w:b w:val="0"/>
          <w:bCs w:val="0"/>
          <w:kern w:val="2"/>
          <w:sz w:val="24"/>
          <w:szCs w:val="22"/>
          <w:lang w:val="zh-CN"/>
        </w:rPr>
      </w:sdtEndPr>
      <w:sdtContent>
        <w:p w14:paraId="4C3E7EEB">
          <w:pPr>
            <w:pStyle w:val="58"/>
            <w:spacing w:before="120" w:after="120"/>
            <w:ind w:firstLine="480"/>
            <w:jc w:val="center"/>
            <w:rPr>
              <w:rFonts w:asciiTheme="majorEastAsia" w:hAnsiTheme="majorEastAsia"/>
              <w:color w:val="4472C4" w:themeColor="accent1"/>
              <w14:textFill>
                <w14:solidFill>
                  <w14:schemeClr w14:val="accent1"/>
                </w14:solidFill>
              </w14:textFill>
            </w:rPr>
          </w:pPr>
          <w:bookmarkStart w:id="2" w:name="_Hlk76675654"/>
          <w:r>
            <w:rPr>
              <w:rFonts w:asciiTheme="majorEastAsia" w:hAnsiTheme="majorEastAsia"/>
              <w:color w:val="4472C4" w:themeColor="accent1"/>
              <w:lang w:val="zh-CN"/>
              <w14:textFill>
                <w14:solidFill>
                  <w14:schemeClr w14:val="accent1"/>
                </w14:solidFill>
              </w14:textFill>
            </w:rPr>
            <w:t>目录</w:t>
          </w:r>
        </w:p>
        <w:p w14:paraId="26EAD6FB">
          <w:pPr>
            <w:pStyle w:val="15"/>
            <w:tabs>
              <w:tab w:val="right" w:leader="dot" w:pos="9865"/>
            </w:tabs>
          </w:pPr>
          <w:r>
            <w:fldChar w:fldCharType="begin"/>
          </w:r>
          <w:r>
            <w:instrText xml:space="preserve"> TOC \o "1-3" \h \z \u </w:instrText>
          </w:r>
          <w:r>
            <w:fldChar w:fldCharType="separate"/>
          </w:r>
          <w:r>
            <w:fldChar w:fldCharType="begin"/>
          </w:r>
          <w:r>
            <w:instrText xml:space="preserve"> HYPERLINK \l _Toc27561 </w:instrText>
          </w:r>
          <w:r>
            <w:fldChar w:fldCharType="separate"/>
          </w:r>
          <w:r>
            <w:rPr>
              <w:rFonts w:hint="eastAsia"/>
            </w:rPr>
            <w:t>1.1 道路绿化景观工程</w:t>
          </w:r>
          <w:r>
            <w:tab/>
          </w:r>
          <w:r>
            <w:fldChar w:fldCharType="begin"/>
          </w:r>
          <w:r>
            <w:instrText xml:space="preserve"> PAGEREF _Toc27561 \h </w:instrText>
          </w:r>
          <w:r>
            <w:fldChar w:fldCharType="separate"/>
          </w:r>
          <w:r>
            <w:t>4</w:t>
          </w:r>
          <w:r>
            <w:fldChar w:fldCharType="end"/>
          </w:r>
          <w:r>
            <w:fldChar w:fldCharType="end"/>
          </w:r>
        </w:p>
        <w:p w14:paraId="7A63E8DB">
          <w:pPr>
            <w:pStyle w:val="9"/>
            <w:tabs>
              <w:tab w:val="right" w:leader="dot" w:pos="9865"/>
            </w:tabs>
          </w:pPr>
          <w:r>
            <w:rPr>
              <w:bCs/>
              <w:lang w:val="zh-CN"/>
            </w:rPr>
            <w:fldChar w:fldCharType="begin"/>
          </w:r>
          <w:r>
            <w:rPr>
              <w:bCs/>
              <w:lang w:val="zh-CN"/>
            </w:rPr>
            <w:instrText xml:space="preserve"> HYPERLINK \l _Toc23305 </w:instrText>
          </w:r>
          <w:r>
            <w:rPr>
              <w:bCs/>
              <w:lang w:val="zh-CN"/>
            </w:rPr>
            <w:fldChar w:fldCharType="separate"/>
          </w:r>
          <w:r>
            <w:rPr>
              <w:rFonts w:hint="eastAsia"/>
            </w:rPr>
            <w:t>1.1.1 工程概况</w:t>
          </w:r>
          <w:r>
            <w:tab/>
          </w:r>
          <w:r>
            <w:fldChar w:fldCharType="begin"/>
          </w:r>
          <w:r>
            <w:instrText xml:space="preserve"> PAGEREF _Toc23305 \h </w:instrText>
          </w:r>
          <w:r>
            <w:fldChar w:fldCharType="separate"/>
          </w:r>
          <w:r>
            <w:t>4</w:t>
          </w:r>
          <w:r>
            <w:fldChar w:fldCharType="end"/>
          </w:r>
          <w:r>
            <w:rPr>
              <w:bCs/>
              <w:lang w:val="zh-CN"/>
            </w:rPr>
            <w:fldChar w:fldCharType="end"/>
          </w:r>
        </w:p>
        <w:p w14:paraId="34A427C3">
          <w:pPr>
            <w:pStyle w:val="9"/>
            <w:tabs>
              <w:tab w:val="right" w:leader="dot" w:pos="9865"/>
            </w:tabs>
          </w:pPr>
          <w:r>
            <w:rPr>
              <w:bCs/>
              <w:lang w:val="zh-CN"/>
            </w:rPr>
            <w:fldChar w:fldCharType="begin"/>
          </w:r>
          <w:r>
            <w:rPr>
              <w:bCs/>
              <w:lang w:val="zh-CN"/>
            </w:rPr>
            <w:instrText xml:space="preserve"> HYPERLINK \l _Toc30643 </w:instrText>
          </w:r>
          <w:r>
            <w:rPr>
              <w:bCs/>
              <w:lang w:val="zh-CN"/>
            </w:rPr>
            <w:fldChar w:fldCharType="separate"/>
          </w:r>
          <w:r>
            <w:rPr>
              <w:rFonts w:hint="eastAsia"/>
            </w:rPr>
            <w:t>1.1.2 设计依据</w:t>
          </w:r>
          <w:r>
            <w:tab/>
          </w:r>
          <w:r>
            <w:fldChar w:fldCharType="begin"/>
          </w:r>
          <w:r>
            <w:instrText xml:space="preserve"> PAGEREF _Toc30643 \h </w:instrText>
          </w:r>
          <w:r>
            <w:fldChar w:fldCharType="separate"/>
          </w:r>
          <w:r>
            <w:t>4</w:t>
          </w:r>
          <w:r>
            <w:fldChar w:fldCharType="end"/>
          </w:r>
          <w:r>
            <w:rPr>
              <w:bCs/>
              <w:lang w:val="zh-CN"/>
            </w:rPr>
            <w:fldChar w:fldCharType="end"/>
          </w:r>
        </w:p>
        <w:p w14:paraId="4A71A8D9">
          <w:pPr>
            <w:pStyle w:val="9"/>
            <w:tabs>
              <w:tab w:val="right" w:leader="dot" w:pos="9865"/>
            </w:tabs>
          </w:pPr>
          <w:r>
            <w:rPr>
              <w:bCs/>
              <w:lang w:val="zh-CN"/>
            </w:rPr>
            <w:fldChar w:fldCharType="begin"/>
          </w:r>
          <w:r>
            <w:rPr>
              <w:bCs/>
              <w:lang w:val="zh-CN"/>
            </w:rPr>
            <w:instrText xml:space="preserve"> HYPERLINK \l _Toc31814 </w:instrText>
          </w:r>
          <w:r>
            <w:rPr>
              <w:bCs/>
              <w:lang w:val="zh-CN"/>
            </w:rPr>
            <w:fldChar w:fldCharType="separate"/>
          </w:r>
          <w:r>
            <w:rPr>
              <w:rFonts w:hint="eastAsia"/>
            </w:rPr>
            <w:t>1.1.3 设计原则</w:t>
          </w:r>
          <w:r>
            <w:tab/>
          </w:r>
          <w:r>
            <w:fldChar w:fldCharType="begin"/>
          </w:r>
          <w:r>
            <w:instrText xml:space="preserve"> PAGEREF _Toc31814 \h </w:instrText>
          </w:r>
          <w:r>
            <w:fldChar w:fldCharType="separate"/>
          </w:r>
          <w:r>
            <w:t>4</w:t>
          </w:r>
          <w:r>
            <w:fldChar w:fldCharType="end"/>
          </w:r>
          <w:r>
            <w:rPr>
              <w:bCs/>
              <w:lang w:val="zh-CN"/>
            </w:rPr>
            <w:fldChar w:fldCharType="end"/>
          </w:r>
        </w:p>
        <w:p w14:paraId="698383D7">
          <w:pPr>
            <w:pStyle w:val="9"/>
            <w:tabs>
              <w:tab w:val="right" w:leader="dot" w:pos="9865"/>
            </w:tabs>
          </w:pPr>
          <w:r>
            <w:rPr>
              <w:bCs/>
              <w:lang w:val="zh-CN"/>
            </w:rPr>
            <w:fldChar w:fldCharType="begin"/>
          </w:r>
          <w:r>
            <w:rPr>
              <w:bCs/>
              <w:lang w:val="zh-CN"/>
            </w:rPr>
            <w:instrText xml:space="preserve"> HYPERLINK \l _Toc19976 </w:instrText>
          </w:r>
          <w:r>
            <w:rPr>
              <w:bCs/>
              <w:lang w:val="zh-CN"/>
            </w:rPr>
            <w:fldChar w:fldCharType="separate"/>
          </w:r>
          <w:r>
            <w:rPr>
              <w:rFonts w:hint="eastAsia"/>
            </w:rPr>
            <w:t>1.1.4 设计主题</w:t>
          </w:r>
          <w:r>
            <w:tab/>
          </w:r>
          <w:r>
            <w:fldChar w:fldCharType="begin"/>
          </w:r>
          <w:r>
            <w:instrText xml:space="preserve"> PAGEREF _Toc19976 \h </w:instrText>
          </w:r>
          <w:r>
            <w:fldChar w:fldCharType="separate"/>
          </w:r>
          <w:r>
            <w:t>5</w:t>
          </w:r>
          <w:r>
            <w:fldChar w:fldCharType="end"/>
          </w:r>
          <w:r>
            <w:rPr>
              <w:bCs/>
              <w:lang w:val="zh-CN"/>
            </w:rPr>
            <w:fldChar w:fldCharType="end"/>
          </w:r>
        </w:p>
        <w:p w14:paraId="7FD203B6">
          <w:pPr>
            <w:pStyle w:val="9"/>
            <w:tabs>
              <w:tab w:val="right" w:leader="dot" w:pos="9865"/>
            </w:tabs>
          </w:pPr>
          <w:r>
            <w:rPr>
              <w:bCs/>
              <w:lang w:val="zh-CN"/>
            </w:rPr>
            <w:fldChar w:fldCharType="begin"/>
          </w:r>
          <w:r>
            <w:rPr>
              <w:bCs/>
              <w:lang w:val="zh-CN"/>
            </w:rPr>
            <w:instrText xml:space="preserve"> HYPERLINK \l _Toc11459 </w:instrText>
          </w:r>
          <w:r>
            <w:rPr>
              <w:bCs/>
              <w:lang w:val="zh-CN"/>
            </w:rPr>
            <w:fldChar w:fldCharType="separate"/>
          </w:r>
          <w:r>
            <w:rPr>
              <w:rFonts w:hint="eastAsia"/>
            </w:rPr>
            <w:t>1.1.5 绿化设计内容</w:t>
          </w:r>
          <w:r>
            <w:tab/>
          </w:r>
          <w:r>
            <w:fldChar w:fldCharType="begin"/>
          </w:r>
          <w:r>
            <w:instrText xml:space="preserve"> PAGEREF _Toc11459 \h </w:instrText>
          </w:r>
          <w:r>
            <w:fldChar w:fldCharType="separate"/>
          </w:r>
          <w:r>
            <w:t>5</w:t>
          </w:r>
          <w:r>
            <w:fldChar w:fldCharType="end"/>
          </w:r>
          <w:r>
            <w:rPr>
              <w:bCs/>
              <w:lang w:val="zh-CN"/>
            </w:rPr>
            <w:fldChar w:fldCharType="end"/>
          </w:r>
        </w:p>
        <w:p w14:paraId="4DFC4ED0">
          <w:pPr>
            <w:pStyle w:val="9"/>
            <w:tabs>
              <w:tab w:val="right" w:leader="dot" w:pos="9865"/>
            </w:tabs>
          </w:pPr>
          <w:r>
            <w:rPr>
              <w:bCs/>
              <w:lang w:val="zh-CN"/>
            </w:rPr>
            <w:fldChar w:fldCharType="begin"/>
          </w:r>
          <w:r>
            <w:rPr>
              <w:bCs/>
              <w:lang w:val="zh-CN"/>
            </w:rPr>
            <w:instrText xml:space="preserve"> HYPERLINK \l _Toc32058 </w:instrText>
          </w:r>
          <w:r>
            <w:rPr>
              <w:bCs/>
              <w:lang w:val="zh-CN"/>
            </w:rPr>
            <w:fldChar w:fldCharType="separate"/>
          </w:r>
          <w:r>
            <w:rPr>
              <w:rFonts w:hint="eastAsia"/>
            </w:rPr>
            <w:t>1.1.6 绿化种植说明及苗木要求</w:t>
          </w:r>
          <w:r>
            <w:tab/>
          </w:r>
          <w:r>
            <w:fldChar w:fldCharType="begin"/>
          </w:r>
          <w:r>
            <w:instrText xml:space="preserve"> PAGEREF _Toc32058 \h </w:instrText>
          </w:r>
          <w:r>
            <w:fldChar w:fldCharType="separate"/>
          </w:r>
          <w:r>
            <w:t>5</w:t>
          </w:r>
          <w:r>
            <w:fldChar w:fldCharType="end"/>
          </w:r>
          <w:r>
            <w:rPr>
              <w:bCs/>
              <w:lang w:val="zh-CN"/>
            </w:rPr>
            <w:fldChar w:fldCharType="end"/>
          </w:r>
        </w:p>
        <w:p w14:paraId="3344EA0C">
          <w:pPr>
            <w:ind w:firstLine="482"/>
          </w:pPr>
          <w:r>
            <w:rPr>
              <w:bCs/>
              <w:lang w:val="zh-CN"/>
            </w:rPr>
            <w:fldChar w:fldCharType="end"/>
          </w:r>
        </w:p>
      </w:sdtContent>
    </w:sdt>
    <w:bookmarkEnd w:id="2"/>
    <w:p w14:paraId="75D3B010">
      <w:pPr>
        <w:widowControl/>
        <w:spacing w:line="240" w:lineRule="auto"/>
        <w:ind w:firstLine="0" w:firstLineChars="0"/>
        <w:jc w:val="left"/>
        <w:rPr>
          <w:b/>
          <w:bCs/>
          <w:sz w:val="36"/>
          <w:szCs w:val="36"/>
        </w:rPr>
      </w:pPr>
      <w:r>
        <w:rPr>
          <w:b/>
          <w:bCs/>
          <w:sz w:val="36"/>
          <w:szCs w:val="36"/>
        </w:rPr>
        <w:br w:type="page"/>
      </w:r>
    </w:p>
    <w:p w14:paraId="4EA3D4A0">
      <w:pPr>
        <w:pStyle w:val="50"/>
        <w:ind w:firstLine="0" w:firstLineChars="0"/>
        <w:jc w:val="center"/>
        <w:rPr>
          <w:rFonts w:ascii="宋体" w:hAnsi="宋体" w:eastAsia="宋体"/>
          <w:b/>
          <w:bCs/>
          <w:sz w:val="36"/>
          <w:szCs w:val="36"/>
        </w:rPr>
      </w:pPr>
      <w:r>
        <w:rPr>
          <w:rFonts w:hint="eastAsia" w:ascii="宋体" w:hAnsi="宋体" w:eastAsia="宋体"/>
          <w:b/>
          <w:bCs/>
          <w:sz w:val="36"/>
          <w:szCs w:val="36"/>
        </w:rPr>
        <w:t>绿化说明</w:t>
      </w:r>
    </w:p>
    <w:p w14:paraId="18BF474C">
      <w:pPr>
        <w:pStyle w:val="3"/>
        <w:spacing w:before="163" w:after="163"/>
        <w:ind w:firstLine="602"/>
      </w:pPr>
      <w:bookmarkStart w:id="3" w:name="_Toc27561"/>
      <w:r>
        <w:rPr>
          <w:rFonts w:hint="eastAsia"/>
        </w:rPr>
        <w:t>道路绿化景观工程</w:t>
      </w:r>
      <w:bookmarkEnd w:id="1"/>
      <w:bookmarkEnd w:id="3"/>
    </w:p>
    <w:p w14:paraId="55BFAA2D">
      <w:pPr>
        <w:pStyle w:val="4"/>
        <w:spacing w:before="163" w:after="163"/>
        <w:ind w:firstLine="560"/>
      </w:pPr>
      <w:bookmarkStart w:id="4" w:name="_Toc23305"/>
      <w:r>
        <w:rPr>
          <w:rFonts w:hint="eastAsia"/>
        </w:rPr>
        <w:t>工程概况</w:t>
      </w:r>
      <w:bookmarkEnd w:id="4"/>
    </w:p>
    <w:p w14:paraId="3901293B">
      <w:pPr>
        <w:ind w:firstLine="480"/>
        <w:rPr>
          <w:rFonts w:hint="default" w:eastAsia="宋体"/>
          <w:spacing w:val="1"/>
          <w:lang w:val="en-US" w:eastAsia="zh-CN"/>
        </w:rPr>
      </w:pPr>
      <w:r>
        <w:rPr>
          <w:rFonts w:hint="eastAsia"/>
        </w:rPr>
        <w:t>本项目市政道路建设工程位于广州市花都区花东镇（</w:t>
      </w:r>
      <w:r>
        <w:rPr>
          <w:rFonts w:hint="eastAsia"/>
          <w:bCs/>
        </w:rPr>
        <w:t>花都大道及机场北进场路交叉口东北侧），临近迳口中学</w:t>
      </w:r>
      <w:r>
        <w:rPr>
          <w:rFonts w:hint="eastAsia"/>
        </w:rPr>
        <w:t>。</w:t>
      </w:r>
      <w:bookmarkStart w:id="5" w:name="_Hlk66960137"/>
      <w:r>
        <w:rPr>
          <w:rFonts w:hint="eastAsia"/>
          <w:snapToGrid w:val="0"/>
        </w:rPr>
        <w:t>根据规划及项目征地红线，</w:t>
      </w:r>
      <w:r>
        <w:rPr>
          <w:rFonts w:hint="eastAsia"/>
          <w:spacing w:val="1"/>
        </w:rPr>
        <w:t>本项目有</w:t>
      </w:r>
      <w:r>
        <w:rPr>
          <w:spacing w:val="1"/>
        </w:rPr>
        <w:t>1</w:t>
      </w:r>
      <w:r>
        <w:rPr>
          <w:rFonts w:hint="eastAsia"/>
          <w:spacing w:val="1"/>
        </w:rPr>
        <w:t>条市政道路纳入工程建设范围，为永安东路（机场北进场路至支路四）</w:t>
      </w:r>
      <w:r>
        <w:rPr>
          <w:rFonts w:hint="eastAsia"/>
        </w:rPr>
        <w:t>。</w:t>
      </w:r>
      <w:bookmarkStart w:id="6" w:name="_Hlk66971163"/>
      <w:r>
        <w:rPr>
          <w:rFonts w:hint="eastAsia"/>
          <w:spacing w:val="1"/>
        </w:rPr>
        <w:t>永安东路西起机场北进场路，东至支路四，</w:t>
      </w:r>
      <w:r>
        <w:rPr>
          <w:rFonts w:hint="eastAsia" w:ascii="宋体" w:hAnsi="宋体"/>
        </w:rPr>
        <w:t>全长为</w:t>
      </w:r>
      <w:r>
        <w:rPr>
          <w:rFonts w:ascii="宋体" w:hAnsi="宋体"/>
        </w:rPr>
        <w:t>302.271</w:t>
      </w:r>
      <w:r>
        <w:rPr>
          <w:rFonts w:hint="eastAsia" w:ascii="宋体" w:hAnsi="宋体"/>
        </w:rPr>
        <w:t>m</w:t>
      </w:r>
      <w:r>
        <w:rPr>
          <w:rFonts w:hint="eastAsia"/>
          <w:spacing w:val="1"/>
        </w:rPr>
        <w:t>，红线宽度</w:t>
      </w:r>
      <w:r>
        <w:rPr>
          <w:rFonts w:hint="eastAsia"/>
        </w:rPr>
        <w:t>为</w:t>
      </w:r>
      <w:r>
        <w:rPr>
          <w:spacing w:val="1"/>
        </w:rPr>
        <w:t>50m</w:t>
      </w:r>
      <w:r>
        <w:rPr>
          <w:rFonts w:hint="eastAsia"/>
          <w:spacing w:val="1"/>
        </w:rPr>
        <w:t>，采</w:t>
      </w:r>
      <w:r>
        <w:rPr>
          <w:rFonts w:hint="eastAsia"/>
          <w:spacing w:val="3"/>
        </w:rPr>
        <w:t>用城市次干路标准设计，设计时速</w:t>
      </w:r>
      <w:r>
        <w:rPr>
          <w:rFonts w:hint="eastAsia"/>
          <w:spacing w:val="2"/>
        </w:rPr>
        <w:t>为</w:t>
      </w:r>
      <w:r>
        <w:t>40km/h</w:t>
      </w:r>
      <w:r>
        <w:rPr>
          <w:rFonts w:hint="eastAsia"/>
        </w:rPr>
        <w:t>，</w:t>
      </w:r>
      <w:r>
        <w:rPr>
          <w:rFonts w:hint="eastAsia"/>
          <w:spacing w:val="4"/>
        </w:rPr>
        <w:t>双向六车道。</w:t>
      </w:r>
      <w:r>
        <w:rPr>
          <w:rFonts w:hint="eastAsia"/>
          <w:spacing w:val="4"/>
          <w:lang w:val="en-US" w:eastAsia="zh-CN"/>
        </w:rPr>
        <w:t>06</w:t>
      </w:r>
    </w:p>
    <w:bookmarkEnd w:id="6"/>
    <w:p w14:paraId="3A284F23">
      <w:pPr>
        <w:ind w:firstLine="480"/>
        <w:jc w:val="both"/>
        <w:rPr>
          <w:rFonts w:hint="eastAsia"/>
          <w:b w:val="0"/>
          <w:bCs w:val="0"/>
          <w:color w:val="auto"/>
          <w:spacing w:val="4"/>
          <w:lang w:val="en-US" w:eastAsia="zh-CN"/>
        </w:rPr>
      </w:pPr>
      <w:r>
        <w:rPr>
          <w:rFonts w:hint="eastAsia"/>
          <w:b/>
          <w:bCs/>
          <w:spacing w:val="4"/>
          <w:lang w:val="en-US" w:eastAsia="zh-CN"/>
        </w:rPr>
        <w:t>永安东路工程范围共分为两部分实施，其中本次设计范围为永安东路左半幅K0+259.439~K0+350.367，长度约90.9m，宽度约25m；</w:t>
      </w:r>
      <w:r>
        <w:rPr>
          <w:rFonts w:hint="eastAsia"/>
          <w:b w:val="0"/>
          <w:bCs w:val="0"/>
          <w:color w:val="auto"/>
          <w:spacing w:val="4"/>
          <w:lang w:val="en-US" w:eastAsia="zh-CN"/>
        </w:rPr>
        <w:t>另外部分（K0+048.096~K0+259.</w:t>
      </w:r>
    </w:p>
    <w:p w14:paraId="59CF36E9">
      <w:pPr>
        <w:ind w:left="0" w:leftChars="0" w:firstLine="0" w:firstLineChars="0"/>
        <w:jc w:val="both"/>
        <w:rPr>
          <w:rFonts w:hint="eastAsia"/>
          <w:b w:val="0"/>
          <w:bCs w:val="0"/>
          <w:color w:val="auto"/>
          <w:spacing w:val="4"/>
          <w:lang w:val="en-US" w:eastAsia="zh-CN"/>
        </w:rPr>
      </w:pPr>
      <w:r>
        <w:rPr>
          <w:rFonts w:hint="eastAsia"/>
          <w:b w:val="0"/>
          <w:bCs w:val="0"/>
          <w:color w:val="auto"/>
          <w:spacing w:val="4"/>
          <w:lang w:val="en-US" w:eastAsia="zh-CN"/>
        </w:rPr>
        <w:t>439整幅、K0+259.439~K0+350.367右半幅）由广州空港经济区起步区拆迁安置区（花东安置区）一期工程项目实施，目前广州空港经济区起步区拆迁安置区（花东安置区）一期工程项目已正在施工。</w:t>
      </w:r>
    </w:p>
    <w:p w14:paraId="0269C7F8">
      <w:pPr>
        <w:ind w:firstLine="480"/>
        <w:rPr>
          <w:rFonts w:hint="eastAsia"/>
          <w:b w:val="0"/>
          <w:bCs w:val="0"/>
          <w:spacing w:val="4"/>
          <w:lang w:val="en-US" w:eastAsia="zh-CN"/>
        </w:rPr>
      </w:pPr>
      <w:r>
        <w:rPr>
          <w:rFonts w:hint="eastAsia"/>
          <w:b w:val="0"/>
          <w:bCs w:val="0"/>
          <w:spacing w:val="4"/>
          <w:lang w:val="en-US" w:eastAsia="zh-CN"/>
        </w:rPr>
        <w:t>市政配套主要建设内容包括：道路工程、交通工程、给水工程、排水工程、海绵城市、照明工程、绿化工程、临时道路工程。</w:t>
      </w:r>
    </w:p>
    <w:p w14:paraId="7BBC6629">
      <w:pPr>
        <w:ind w:firstLine="480"/>
        <w:rPr>
          <w:rFonts w:cs="宋体"/>
        </w:rPr>
      </w:pPr>
      <w:r>
        <w:rPr>
          <w:rFonts w:cs="宋体"/>
        </w:rPr>
        <w:t>高程系统采用广州</w:t>
      </w:r>
      <w:r>
        <w:rPr>
          <w:rFonts w:hint="eastAsia" w:cs="宋体"/>
        </w:rPr>
        <w:t>城建</w:t>
      </w:r>
      <w:r>
        <w:rPr>
          <w:rFonts w:cs="宋体"/>
        </w:rPr>
        <w:t>高程系统</w:t>
      </w:r>
      <w:r>
        <w:rPr>
          <w:rFonts w:hint="eastAsia" w:cs="宋体"/>
        </w:rPr>
        <w:t>，</w:t>
      </w:r>
      <w:r>
        <w:rPr>
          <w:rFonts w:cs="宋体"/>
        </w:rPr>
        <w:t>坐标系采用广州</w:t>
      </w:r>
      <w:r>
        <w:rPr>
          <w:rFonts w:hint="eastAsia" w:cs="宋体"/>
        </w:rPr>
        <w:t>2</w:t>
      </w:r>
      <w:r>
        <w:rPr>
          <w:rFonts w:cs="宋体"/>
        </w:rPr>
        <w:t>000坐标系统</w:t>
      </w:r>
      <w:bookmarkEnd w:id="5"/>
      <w:r>
        <w:rPr>
          <w:rFonts w:hint="eastAsia" w:cs="宋体"/>
        </w:rPr>
        <w:t>。</w:t>
      </w:r>
    </w:p>
    <w:p w14:paraId="7B9A52C7">
      <w:pPr>
        <w:ind w:firstLine="480"/>
        <w:rPr>
          <w:rFonts w:ascii="宋体" w:hAnsi="宋体" w:cs="宋体"/>
          <w:b/>
          <w:bCs/>
          <w:szCs w:val="24"/>
        </w:rPr>
      </w:pPr>
      <w:r>
        <w:rPr>
          <w:rFonts w:hint="eastAsia" w:ascii="宋体" w:hAnsi="宋体" w:cs="宋体"/>
          <w:b/>
          <w:bCs/>
          <w:szCs w:val="24"/>
        </w:rPr>
        <w:t>本绿化专项设计，主要侧绿化带设计。</w:t>
      </w:r>
    </w:p>
    <w:p w14:paraId="6A668B7C">
      <w:pPr>
        <w:pStyle w:val="4"/>
        <w:spacing w:before="163" w:after="163"/>
        <w:ind w:firstLine="560"/>
      </w:pPr>
      <w:bookmarkStart w:id="7" w:name="_Toc48815986"/>
      <w:bookmarkStart w:id="8" w:name="_Toc49527798"/>
      <w:bookmarkStart w:id="9" w:name="_Toc30643"/>
      <w:r>
        <w:rPr>
          <w:rFonts w:hint="eastAsia"/>
        </w:rPr>
        <w:t>设计依据</w:t>
      </w:r>
      <w:bookmarkEnd w:id="7"/>
      <w:bookmarkEnd w:id="8"/>
      <w:bookmarkEnd w:id="9"/>
    </w:p>
    <w:p w14:paraId="7B02032A">
      <w:pPr>
        <w:ind w:firstLine="480"/>
      </w:pPr>
      <w:r>
        <w:rPr>
          <w:rFonts w:hint="eastAsia"/>
        </w:rPr>
        <w:t>（</w:t>
      </w:r>
      <w:r>
        <w:t>1</w:t>
      </w:r>
      <w:r>
        <w:rPr>
          <w:rFonts w:hint="eastAsia"/>
        </w:rPr>
        <w:t>）《园林绿化工程施工及验收规范》（</w:t>
      </w:r>
      <w:r>
        <w:t>CJJ82-2012</w:t>
      </w:r>
      <w:r>
        <w:rPr>
          <w:rFonts w:hint="eastAsia"/>
        </w:rPr>
        <w:t>）</w:t>
      </w:r>
    </w:p>
    <w:p w14:paraId="17404A69">
      <w:pPr>
        <w:ind w:firstLine="480"/>
      </w:pPr>
      <w:r>
        <w:rPr>
          <w:rFonts w:hint="eastAsia"/>
        </w:rPr>
        <w:t>（</w:t>
      </w:r>
      <w:r>
        <w:t>2</w:t>
      </w:r>
      <w:r>
        <w:rPr>
          <w:rFonts w:hint="eastAsia"/>
        </w:rPr>
        <w:t>）《城市道路绿化规划与设计规范》（CJJ75-97）</w:t>
      </w:r>
    </w:p>
    <w:p w14:paraId="18736435">
      <w:pPr>
        <w:ind w:firstLine="480"/>
      </w:pPr>
      <w:r>
        <w:rPr>
          <w:rFonts w:hint="eastAsia"/>
        </w:rPr>
        <w:t>（</w:t>
      </w:r>
      <w:r>
        <w:t>3</w:t>
      </w:r>
      <w:r>
        <w:rPr>
          <w:rFonts w:hint="eastAsia"/>
        </w:rPr>
        <w:t>）《风景园林制图标准》（CJJ_T 67-2015）</w:t>
      </w:r>
    </w:p>
    <w:p w14:paraId="1DD7F25D">
      <w:pPr>
        <w:ind w:firstLine="480"/>
      </w:pPr>
      <w:r>
        <w:rPr>
          <w:rFonts w:hint="eastAsia"/>
        </w:rPr>
        <w:t>（</w:t>
      </w:r>
      <w:r>
        <w:t>4</w:t>
      </w:r>
      <w:r>
        <w:rPr>
          <w:rFonts w:hint="eastAsia"/>
        </w:rPr>
        <w:t>）《城市绿地分类标准》（</w:t>
      </w:r>
      <w:r>
        <w:t>CJJ/T85-2017</w:t>
      </w:r>
      <w:r>
        <w:rPr>
          <w:rFonts w:hint="eastAsia"/>
        </w:rPr>
        <w:t>）</w:t>
      </w:r>
    </w:p>
    <w:p w14:paraId="00799A9A">
      <w:pPr>
        <w:ind w:firstLine="480"/>
      </w:pPr>
      <w:r>
        <w:rPr>
          <w:rFonts w:hint="eastAsia"/>
        </w:rPr>
        <w:t>（</w:t>
      </w:r>
      <w:r>
        <w:t>5</w:t>
      </w:r>
      <w:r>
        <w:rPr>
          <w:rFonts w:hint="eastAsia"/>
        </w:rPr>
        <w:t>）《城市绿化条例》</w:t>
      </w:r>
    </w:p>
    <w:p w14:paraId="542CBDFE">
      <w:pPr>
        <w:ind w:firstLine="480"/>
      </w:pPr>
      <w:r>
        <w:rPr>
          <w:rFonts w:hint="eastAsia"/>
        </w:rPr>
        <w:t>（</w:t>
      </w:r>
      <w:r>
        <w:t>6</w:t>
      </w:r>
      <w:r>
        <w:rPr>
          <w:rFonts w:hint="eastAsia"/>
        </w:rPr>
        <w:t>）《城市绿地设计规范》（</w:t>
      </w:r>
      <w:r>
        <w:t>GB50420-2007</w:t>
      </w:r>
      <w:r>
        <w:rPr>
          <w:rFonts w:hint="eastAsia"/>
        </w:rPr>
        <w:t>）</w:t>
      </w:r>
      <w:r>
        <w:t xml:space="preserve"> </w:t>
      </w:r>
    </w:p>
    <w:p w14:paraId="53818E05">
      <w:pPr>
        <w:ind w:firstLine="480"/>
        <w:rPr>
          <w:rFonts w:hint="eastAsia"/>
        </w:rPr>
      </w:pPr>
      <w:r>
        <w:rPr>
          <w:rFonts w:hint="eastAsia"/>
        </w:rPr>
        <w:t>（7）城市综合交通体系规划标准（GB/T51328-2018）</w:t>
      </w:r>
    </w:p>
    <w:p w14:paraId="1E22D384">
      <w:pPr>
        <w:ind w:firstLine="480"/>
        <w:rPr>
          <w:rFonts w:hint="eastAsia"/>
        </w:rPr>
      </w:pPr>
      <w:r>
        <w:rPr>
          <w:rFonts w:hint="eastAsia" w:ascii="仿宋_GB2312" w:eastAsia="仿宋_GB2312"/>
          <w:szCs w:val="21"/>
          <w:lang w:eastAsia="zh-CN"/>
        </w:rPr>
        <w:t>（</w:t>
      </w:r>
      <w:r>
        <w:rPr>
          <w:rFonts w:hint="eastAsia" w:ascii="仿宋_GB2312" w:eastAsia="仿宋_GB2312"/>
          <w:szCs w:val="21"/>
          <w:lang w:val="en-US" w:eastAsia="zh-CN"/>
        </w:rPr>
        <w:t>8</w:t>
      </w:r>
      <w:r>
        <w:rPr>
          <w:rFonts w:hint="eastAsia" w:ascii="仿宋_GB2312" w:eastAsia="仿宋_GB2312"/>
          <w:szCs w:val="21"/>
          <w:lang w:eastAsia="zh-CN"/>
        </w:rPr>
        <w:t>）</w:t>
      </w:r>
      <w:r>
        <w:rPr>
          <w:rFonts w:hint="eastAsia" w:ascii="仿宋_GB2312" w:eastAsia="仿宋_GB2312"/>
          <w:szCs w:val="21"/>
        </w:rPr>
        <w:t>《市政公用工程设计文件编制深度规定(2013年版)》</w:t>
      </w:r>
    </w:p>
    <w:p w14:paraId="2C322577">
      <w:pPr>
        <w:ind w:firstLine="480"/>
      </w:pPr>
      <w:r>
        <w:rPr>
          <w:rFonts w:hint="eastAsia"/>
        </w:rPr>
        <w:t>（</w:t>
      </w:r>
      <w:r>
        <w:rPr>
          <w:rFonts w:hint="eastAsia"/>
          <w:lang w:val="en-US" w:eastAsia="zh-CN"/>
        </w:rPr>
        <w:t>9</w:t>
      </w:r>
      <w:r>
        <w:rPr>
          <w:rFonts w:hint="eastAsia"/>
        </w:rPr>
        <w:t>）广州市绿化常规设计规范要求及工程主管部门的要求</w:t>
      </w:r>
      <w:r>
        <w:t xml:space="preserve"> </w:t>
      </w:r>
    </w:p>
    <w:p w14:paraId="1AD4234B">
      <w:pPr>
        <w:ind w:firstLine="480"/>
      </w:pPr>
      <w:r>
        <w:rPr>
          <w:rFonts w:hint="eastAsia"/>
        </w:rPr>
        <w:t>（</w:t>
      </w:r>
      <w:r>
        <w:rPr>
          <w:rFonts w:hint="eastAsia"/>
          <w:lang w:val="en-US" w:eastAsia="zh-CN"/>
        </w:rPr>
        <w:t>10</w:t>
      </w:r>
      <w:r>
        <w:rPr>
          <w:rFonts w:hint="eastAsia"/>
        </w:rPr>
        <w:t>）本地区的气象、水文、土质、植物等相关资料</w:t>
      </w:r>
    </w:p>
    <w:p w14:paraId="575ABEA6">
      <w:pPr>
        <w:ind w:firstLine="480"/>
      </w:pPr>
      <w:r>
        <w:rPr>
          <w:rFonts w:hint="eastAsia"/>
        </w:rPr>
        <w:t>（1</w:t>
      </w:r>
      <w:r>
        <w:rPr>
          <w:rFonts w:hint="eastAsia"/>
          <w:lang w:val="en-US" w:eastAsia="zh-CN"/>
        </w:rPr>
        <w:t>1</w:t>
      </w:r>
      <w:r>
        <w:rPr>
          <w:rFonts w:hint="eastAsia"/>
        </w:rPr>
        <w:t>）国家及广东省建筑及景观规划设计和施工相关规范标准及其它相关国家规范、规定。</w:t>
      </w:r>
    </w:p>
    <w:p w14:paraId="4F50CE4E">
      <w:pPr>
        <w:pStyle w:val="4"/>
        <w:spacing w:before="163" w:after="163"/>
        <w:ind w:firstLine="560"/>
      </w:pPr>
      <w:bookmarkStart w:id="10" w:name="_Toc49527797"/>
      <w:bookmarkStart w:id="11" w:name="_Toc31814"/>
      <w:bookmarkStart w:id="12" w:name="_Toc48815985"/>
      <w:r>
        <w:rPr>
          <w:rFonts w:hint="eastAsia"/>
        </w:rPr>
        <w:t>设计原则</w:t>
      </w:r>
      <w:bookmarkEnd w:id="10"/>
      <w:bookmarkEnd w:id="11"/>
      <w:bookmarkEnd w:id="12"/>
    </w:p>
    <w:p w14:paraId="6A0764AB">
      <w:pPr>
        <w:numPr>
          <w:ilvl w:val="0"/>
          <w:numId w:val="3"/>
        </w:numPr>
        <w:ind w:firstLine="480"/>
      </w:pPr>
      <w:r>
        <w:rPr>
          <w:rFonts w:hint="eastAsia"/>
        </w:rPr>
        <w:t>整体性原则</w:t>
      </w:r>
    </w:p>
    <w:p w14:paraId="38ADE843">
      <w:pPr>
        <w:ind w:firstLine="480"/>
      </w:pPr>
      <w:r>
        <w:rPr>
          <w:rFonts w:hint="eastAsia"/>
        </w:rPr>
        <w:t>从城市整体出发，城市道路景观设计要体现城市的形象和个性。从道路本身出发，将一条道路作为一个整体考虑，统一考虑道路两侧的建筑物、绿化、街道设施、色彩、历史文化等，避免其成为片段的堆砌和拼凑。</w:t>
      </w:r>
    </w:p>
    <w:p w14:paraId="02B41AA6">
      <w:pPr>
        <w:ind w:firstLine="480"/>
      </w:pPr>
      <w:r>
        <w:rPr>
          <w:rFonts w:hint="eastAsia"/>
        </w:rPr>
        <w:t>（2）生态造景与生态可持续原则</w:t>
      </w:r>
    </w:p>
    <w:p w14:paraId="526F10A5">
      <w:pPr>
        <w:ind w:firstLine="480"/>
      </w:pPr>
      <w:r>
        <w:rPr>
          <w:rFonts w:hint="eastAsia"/>
        </w:rPr>
        <w:t>绿化景观设计是以植物造景为主，强调整条道路的生态美，同时主调树种的选择，与硬地景观的设计上取得统一，满足植物生长的环境要求。</w:t>
      </w:r>
    </w:p>
    <w:p w14:paraId="09DE6895">
      <w:pPr>
        <w:ind w:firstLine="480"/>
      </w:pPr>
      <w:r>
        <w:rPr>
          <w:rFonts w:hint="eastAsia"/>
        </w:rPr>
        <w:t>（3）因地制宜原则</w:t>
      </w:r>
    </w:p>
    <w:p w14:paraId="345ED00E">
      <w:pPr>
        <w:ind w:firstLine="480"/>
      </w:pPr>
      <w:r>
        <w:rPr>
          <w:rFonts w:hint="eastAsia"/>
        </w:rPr>
        <w:t>充分利用现有地形、河涌、农田，因地制宜以乡土树种为主，创造具有广州市特色的道路景观空间。</w:t>
      </w:r>
    </w:p>
    <w:p w14:paraId="34607E35">
      <w:pPr>
        <w:ind w:firstLine="480"/>
      </w:pPr>
      <w:r>
        <w:rPr>
          <w:rFonts w:hint="eastAsia"/>
        </w:rPr>
        <w:t>（4）宏观性原则</w:t>
      </w:r>
    </w:p>
    <w:p w14:paraId="74D677EA">
      <w:pPr>
        <w:ind w:firstLine="480"/>
      </w:pPr>
      <w:r>
        <w:rPr>
          <w:rFonts w:hint="eastAsia"/>
        </w:rPr>
        <w:t>因物制宜、因时制宜，树种应与广州的城市景观规划相协调，与周边的环境相衔接，在有限的空间内，通过配置不同花色、不同形状的乔灌木，与周边环境相呼应，并利用道路绿化植物分隔、围合空间的功能，使道路绿化发挥其对城市空间的连接、分隔、围合等作用。妥善处理与城市道路交通用地及周边建筑的关系，力求满足实施管理上的法律功效和适度应变性，以适应发展和调整的需要。</w:t>
      </w:r>
    </w:p>
    <w:p w14:paraId="62C342D8">
      <w:pPr>
        <w:ind w:firstLine="480"/>
      </w:pPr>
      <w:r>
        <w:rPr>
          <w:rFonts w:hint="eastAsia"/>
        </w:rPr>
        <w:t>（5）创造舒适宜人的可人环境，体现人为生态</w:t>
      </w:r>
    </w:p>
    <w:p w14:paraId="77E8359A">
      <w:pPr>
        <w:ind w:firstLine="480"/>
      </w:pPr>
      <w:r>
        <w:rPr>
          <w:rFonts w:hint="eastAsia"/>
        </w:rPr>
        <w:t>“人”是景观最直接的使用者。因此首先考虑使用者的要求，做好总体布局，提高环境质量等方面的功能要求。</w:t>
      </w:r>
    </w:p>
    <w:p w14:paraId="225D4CAF">
      <w:pPr>
        <w:ind w:firstLine="480"/>
      </w:pPr>
      <w:r>
        <w:rPr>
          <w:rFonts w:hint="eastAsia"/>
        </w:rPr>
        <w:t>1）最大限度提高绿视率，体现自然生态</w:t>
      </w:r>
    </w:p>
    <w:p w14:paraId="7053933D">
      <w:pPr>
        <w:ind w:firstLine="480"/>
      </w:pPr>
      <w:r>
        <w:rPr>
          <w:rFonts w:hint="eastAsia"/>
        </w:rPr>
        <w:t>设计中主要采用以植物造景为主，绿地中配置丰富的地被植物，营造出令人心旷神怡的环境。</w:t>
      </w:r>
    </w:p>
    <w:p w14:paraId="514477CE">
      <w:pPr>
        <w:ind w:firstLine="480"/>
      </w:pPr>
      <w:r>
        <w:rPr>
          <w:rFonts w:hint="eastAsia"/>
        </w:rPr>
        <w:t>2）“因地制宜”是植物造景的根本</w:t>
      </w:r>
    </w:p>
    <w:p w14:paraId="4AB5025C">
      <w:pPr>
        <w:ind w:firstLine="480"/>
      </w:pPr>
      <w:r>
        <w:rPr>
          <w:rFonts w:hint="eastAsia"/>
        </w:rPr>
        <w:t>“适地适树”、“适景适树”是重要的立地条件。选择适生树种和乡土树种，要做到宜树则树，宜花则花，宜草则草，本方案最大的特点就是根据周围的环境特点，选用生长适应性强，遮荫、滤尘、减噪的树种，地被植物选用方便管理、不用修剪、且具有一定抗污染的植物，充分反映出地方特色，做到最经济、最节约，也能使植物发挥出最大的生态效益，起到事半功倍的效果。</w:t>
      </w:r>
    </w:p>
    <w:p w14:paraId="1D286C2D">
      <w:pPr>
        <w:ind w:firstLine="480"/>
      </w:pPr>
      <w:r>
        <w:rPr>
          <w:rFonts w:hint="eastAsia"/>
        </w:rPr>
        <w:t>3）“崇尚自然”寻求人与自然的和谐</w:t>
      </w:r>
    </w:p>
    <w:p w14:paraId="32CAAB47">
      <w:pPr>
        <w:ind w:firstLine="480"/>
      </w:pPr>
      <w:r>
        <w:rPr>
          <w:rFonts w:hint="eastAsia"/>
        </w:rPr>
        <w:t>以“接近自然，回归自然”作为设计法则，贯穿于整个设计与建造中。利用自然、师法自然，才能使环境有融于自然之感，达到人和自然的和谐。</w:t>
      </w:r>
    </w:p>
    <w:p w14:paraId="24198DB9">
      <w:pPr>
        <w:pStyle w:val="4"/>
        <w:spacing w:before="163" w:after="163"/>
        <w:ind w:firstLine="560"/>
      </w:pPr>
      <w:bookmarkStart w:id="13" w:name="_Toc19976"/>
      <w:bookmarkStart w:id="14" w:name="_Toc49527799"/>
      <w:r>
        <w:rPr>
          <w:rFonts w:hint="eastAsia"/>
        </w:rPr>
        <w:t>设计主题</w:t>
      </w:r>
      <w:bookmarkEnd w:id="13"/>
      <w:bookmarkEnd w:id="14"/>
    </w:p>
    <w:p w14:paraId="035EBE43">
      <w:pPr>
        <w:ind w:firstLine="480"/>
      </w:pPr>
      <w:r>
        <w:rPr>
          <w:rFonts w:hint="eastAsia"/>
        </w:rPr>
        <w:t>与周围环境紧密结合，色彩丰富，优化生态空间，提高环境质量，营造具有特色的生态景观道。体现道路的特色，有一定的时代感，道路绿化设计既要保持原有景观风格同时也要和道路未来环境和定位更好的结合。</w:t>
      </w:r>
    </w:p>
    <w:p w14:paraId="64B5D1D3">
      <w:pPr>
        <w:ind w:firstLine="480"/>
      </w:pPr>
      <w:r>
        <w:rPr>
          <w:rFonts w:hint="eastAsia"/>
        </w:rPr>
        <w:t>本方案因地制宜，在达到景观效果的基础上，充分利用乡土树种，保护现有绿化植被，大大降低了工程造价。</w:t>
      </w:r>
    </w:p>
    <w:p w14:paraId="2E3F826A">
      <w:pPr>
        <w:ind w:firstLine="480"/>
      </w:pPr>
      <w:r>
        <w:rPr>
          <w:rFonts w:hint="eastAsia"/>
        </w:rPr>
        <w:t>充分发挥园林绿化达到的城市景观效果，人行道绿化带既可以营造美丽的风景，又可以遮荫，阻隔噪音、尘埃、废气，充分体现了“以人为本”且极具地域特色的城市生态风景线。</w:t>
      </w:r>
    </w:p>
    <w:p w14:paraId="557AF286">
      <w:pPr>
        <w:ind w:firstLine="480"/>
      </w:pPr>
      <w:r>
        <w:rPr>
          <w:rFonts w:hint="eastAsia"/>
        </w:rPr>
        <w:t>（</w:t>
      </w:r>
      <w:r>
        <w:t>1</w:t>
      </w:r>
      <w:r>
        <w:rPr>
          <w:rFonts w:hint="eastAsia"/>
        </w:rPr>
        <w:t>）宏观来看，连续的绿化带成为景观生态长廊；</w:t>
      </w:r>
    </w:p>
    <w:p w14:paraId="68B6EC99">
      <w:pPr>
        <w:ind w:firstLine="480"/>
      </w:pPr>
      <w:r>
        <w:rPr>
          <w:rFonts w:hint="eastAsia"/>
        </w:rPr>
        <w:t>（</w:t>
      </w:r>
      <w:r>
        <w:t>2</w:t>
      </w:r>
      <w:r>
        <w:rPr>
          <w:rFonts w:hint="eastAsia"/>
        </w:rPr>
        <w:t>）从生态环境来看，本方案增强植物配置层次，选用抗尘抗污染树种，绿化屏障阻隔噪音、尘埃、废气等不利因素，展示其改善城市环境生态功能，营造良好城市生态景观环境。</w:t>
      </w:r>
    </w:p>
    <w:p w14:paraId="4C9F9554">
      <w:pPr>
        <w:pStyle w:val="4"/>
        <w:spacing w:before="163" w:after="163"/>
        <w:ind w:firstLine="560"/>
      </w:pPr>
      <w:bookmarkStart w:id="15" w:name="_Toc11459"/>
      <w:bookmarkStart w:id="16" w:name="_Toc49527800"/>
      <w:r>
        <w:rPr>
          <w:rFonts w:hint="eastAsia"/>
        </w:rPr>
        <w:t>绿化设计内容</w:t>
      </w:r>
      <w:bookmarkEnd w:id="15"/>
      <w:bookmarkEnd w:id="16"/>
    </w:p>
    <w:p w14:paraId="21309900">
      <w:pPr>
        <w:ind w:firstLine="480"/>
      </w:pPr>
      <w:r>
        <w:rPr>
          <w:rFonts w:hint="eastAsia"/>
        </w:rPr>
        <w:t>道路绿化根据规划路网及现状周边情况，采取“一路一树，一路一景”的原则，以绿色常绿成荫系植物为主，以开花植物为辅选择姿态优美，花色和叶色亮丽的植物品种，以精细化配置手法创造出适合漫步近景，宜人、迷人的道路植物景观。</w:t>
      </w:r>
    </w:p>
    <w:p w14:paraId="7DB2D069">
      <w:pPr>
        <w:ind w:firstLine="480"/>
        <w:rPr>
          <w:rFonts w:hint="eastAsia"/>
          <w:lang w:val="en-US" w:eastAsia="zh-CN"/>
        </w:rPr>
      </w:pPr>
      <w:r>
        <w:rPr>
          <w:rFonts w:hint="eastAsia"/>
        </w:rPr>
        <w:t>绿化设计</w:t>
      </w:r>
      <w:r>
        <w:rPr>
          <w:rFonts w:hint="eastAsia"/>
          <w:lang w:val="en-US" w:eastAsia="zh-CN"/>
        </w:rPr>
        <w:t>仅包括北侧绿化带行道树，中央绿化带和渠化岛绿化由一期工程实施。</w:t>
      </w:r>
    </w:p>
    <w:p w14:paraId="3A63D1DE">
      <w:pPr>
        <w:ind w:firstLine="480"/>
        <w:rPr>
          <w:rFonts w:hint="default"/>
          <w:lang w:val="en-US" w:eastAsia="zh-CN"/>
        </w:rPr>
      </w:pPr>
      <w:r>
        <w:drawing>
          <wp:inline distT="0" distB="0" distL="114300" distR="114300">
            <wp:extent cx="6255385" cy="2407285"/>
            <wp:effectExtent l="0" t="0" r="1206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a:stretch>
                      <a:fillRect/>
                    </a:stretch>
                  </pic:blipFill>
                  <pic:spPr>
                    <a:xfrm>
                      <a:off x="0" y="0"/>
                      <a:ext cx="6255385" cy="2407285"/>
                    </a:xfrm>
                    <a:prstGeom prst="rect">
                      <a:avLst/>
                    </a:prstGeom>
                    <a:noFill/>
                    <a:ln>
                      <a:noFill/>
                    </a:ln>
                  </pic:spPr>
                </pic:pic>
              </a:graphicData>
            </a:graphic>
          </wp:inline>
        </w:drawing>
      </w:r>
    </w:p>
    <w:p w14:paraId="1A8B6411">
      <w:pPr>
        <w:ind w:firstLine="480"/>
      </w:pPr>
      <w:r>
        <w:rPr>
          <w:rFonts w:hint="eastAsia"/>
        </w:rPr>
        <w:t>行道树种植绿色常绿成荫系乔木秋枫，既可以为行人提供遮阴，使行人得以免受日晒之苦，又可以绿化、美化环境。</w:t>
      </w:r>
    </w:p>
    <w:p w14:paraId="0E60AA14">
      <w:pPr>
        <w:ind w:firstLine="480"/>
        <w:jc w:val="center"/>
      </w:pPr>
      <w:r>
        <w:rPr>
          <w:rFonts w:hint="eastAsia"/>
        </w:rPr>
        <w:t xml:space="preserve"> </w:t>
      </w:r>
      <w:r>
        <w:rPr>
          <w:rFonts w:hint="eastAsia"/>
        </w:rPr>
        <w:drawing>
          <wp:inline distT="0" distB="0" distL="114300" distR="114300">
            <wp:extent cx="2475230" cy="3302635"/>
            <wp:effectExtent l="9525" t="9525" r="10795" b="21590"/>
            <wp:docPr id="20" name="图片 20" descr="src=http_%2F%2F5b0988e595225.cdn.sohucs.com%2Fimages%2F20190115%2Fd5c77fcc03364713ba2d3d8f0329651e.jpeg&amp;refer=http_%2F%2F5b0988e595225.cdn.sohu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rc=http_%2F%2F5b0988e595225.cdn.sohucs.com%2Fimages%2F20190115%2Fd5c77fcc03364713ba2d3d8f0329651e.jpeg&amp;refer=http_%2F%2F5b0988e595225.cdn.sohucs"/>
                    <pic:cNvPicPr>
                      <a:picLocks noChangeAspect="1"/>
                    </pic:cNvPicPr>
                  </pic:nvPicPr>
                  <pic:blipFill>
                    <a:blip r:embed="rId20"/>
                    <a:stretch>
                      <a:fillRect/>
                    </a:stretch>
                  </pic:blipFill>
                  <pic:spPr>
                    <a:xfrm>
                      <a:off x="0" y="0"/>
                      <a:ext cx="2475230" cy="3302635"/>
                    </a:xfrm>
                    <a:prstGeom prst="rect">
                      <a:avLst/>
                    </a:prstGeom>
                    <a:noFill/>
                    <a:ln w="3175" cmpd="sng">
                      <a:solidFill>
                        <a:srgbClr val="00B0F0"/>
                      </a:solidFill>
                      <a:miter lim="800000"/>
                      <a:headEnd/>
                      <a:tailEnd/>
                    </a:ln>
                    <a:effectLst/>
                  </pic:spPr>
                </pic:pic>
              </a:graphicData>
            </a:graphic>
          </wp:inline>
        </w:drawing>
      </w:r>
      <w:r>
        <w:rPr>
          <w:rFonts w:hint="eastAsia"/>
        </w:rPr>
        <w:t xml:space="preserve">  </w:t>
      </w:r>
      <w:r>
        <w:rPr>
          <w:rFonts w:ascii="宋体" w:hAnsi="宋体" w:cs="宋体"/>
          <w:szCs w:val="24"/>
        </w:rPr>
        <w:drawing>
          <wp:inline distT="0" distB="0" distL="114300" distR="114300">
            <wp:extent cx="304800" cy="304800"/>
            <wp:effectExtent l="0" t="0" r="0" b="0"/>
            <wp:docPr id="3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 descr="IMG_256"/>
                    <pic:cNvPicPr>
                      <a:picLocks noChangeAspect="1"/>
                    </pic:cNvPicPr>
                  </pic:nvPicPr>
                  <pic:blipFill>
                    <a:blip r:embed="rId21"/>
                    <a:stretch>
                      <a:fillRect/>
                    </a:stretch>
                  </pic:blipFill>
                  <pic:spPr>
                    <a:xfrm>
                      <a:off x="0" y="0"/>
                      <a:ext cx="304800" cy="304800"/>
                    </a:xfrm>
                    <a:prstGeom prst="rect">
                      <a:avLst/>
                    </a:prstGeom>
                    <a:noFill/>
                    <a:ln w="9525">
                      <a:noFill/>
                    </a:ln>
                  </pic:spPr>
                </pic:pic>
              </a:graphicData>
            </a:graphic>
          </wp:inline>
        </w:drawing>
      </w:r>
    </w:p>
    <w:p w14:paraId="2D697125">
      <w:pPr>
        <w:ind w:firstLine="4578" w:firstLineChars="1900"/>
        <w:rPr>
          <w:b/>
        </w:rPr>
      </w:pPr>
      <w:r>
        <w:rPr>
          <w:rFonts w:hint="eastAsia"/>
          <w:b/>
        </w:rPr>
        <w:t xml:space="preserve">秋枫                              </w:t>
      </w:r>
    </w:p>
    <w:p w14:paraId="412674E7">
      <w:pPr>
        <w:pStyle w:val="4"/>
        <w:spacing w:before="163" w:after="163"/>
        <w:ind w:firstLine="560"/>
      </w:pPr>
      <w:bookmarkStart w:id="17" w:name="_Toc32058"/>
      <w:bookmarkStart w:id="18" w:name="_Toc49527801"/>
      <w:r>
        <w:rPr>
          <w:rFonts w:hint="eastAsia"/>
        </w:rPr>
        <w:t>绿化种植说明及苗木要求</w:t>
      </w:r>
      <w:bookmarkEnd w:id="17"/>
      <w:bookmarkEnd w:id="18"/>
    </w:p>
    <w:p w14:paraId="7B5FA14C">
      <w:pPr>
        <w:pStyle w:val="5"/>
        <w:ind w:firstLine="482"/>
      </w:pPr>
      <w:r>
        <w:rPr>
          <w:rFonts w:hint="eastAsia"/>
        </w:rPr>
        <w:t>绿化地平整、清理</w:t>
      </w:r>
    </w:p>
    <w:p w14:paraId="1EBBE995">
      <w:pPr>
        <w:ind w:firstLine="480"/>
      </w:pPr>
      <w:r>
        <w:rPr>
          <w:rFonts w:hint="eastAsia"/>
        </w:rPr>
        <w:t>（1）种植地表应按图纸规定平整绿化地面至设计放坡要求，同时清除砾石、杂草杂物；平整理顺地形和周边环境；中央绿化带绿地地面最高点低于道路路面设计标高15cm，导向交通岛绿化回填种植土最高点低于道路路面设计标高15cm；一般未特殊设计之地形，坡度可定在2.5%～3.0%之间以利排水。</w:t>
      </w:r>
    </w:p>
    <w:p w14:paraId="29FCAE1B">
      <w:pPr>
        <w:ind w:firstLine="480"/>
      </w:pPr>
      <w:r>
        <w:rPr>
          <w:rFonts w:hint="eastAsia"/>
        </w:rPr>
        <w:t>（2）场地应有一定的压实度，避免沉降。</w:t>
      </w:r>
    </w:p>
    <w:p w14:paraId="5DB00564">
      <w:pPr>
        <w:ind w:firstLine="480"/>
      </w:pPr>
      <w:r>
        <w:rPr>
          <w:rFonts w:hint="eastAsia"/>
        </w:rPr>
        <w:t>（3）所有靠路边或路牙沿线的绿地地面应低于路边或路牙沿线3cm。</w:t>
      </w:r>
    </w:p>
    <w:p w14:paraId="44CBC763">
      <w:pPr>
        <w:ind w:firstLine="480"/>
      </w:pPr>
      <w:r>
        <w:rPr>
          <w:rFonts w:hint="eastAsia"/>
        </w:rPr>
        <w:t>（4）遇到排水井，路灯和构筑物等适当调整种植位置。</w:t>
      </w:r>
    </w:p>
    <w:p w14:paraId="58ACF6AE">
      <w:pPr>
        <w:pStyle w:val="5"/>
        <w:ind w:firstLine="482"/>
      </w:pPr>
      <w:r>
        <w:rPr>
          <w:rFonts w:hint="eastAsia"/>
        </w:rPr>
        <w:t>绿地种植土质要求</w:t>
      </w:r>
    </w:p>
    <w:p w14:paraId="7E80699E">
      <w:pPr>
        <w:ind w:firstLine="480"/>
      </w:pPr>
      <w:r>
        <w:rPr>
          <w:rFonts w:hint="eastAsia"/>
        </w:rPr>
        <w:t>（1）PH值为5.5-7.5之间的土壤，疏松表层土，不含建筑、生活垃圾和杂草；种植前应对该地区的土壤理化性质进行化验分析，采取相应的消毒、施肥和客土等措施。</w:t>
      </w:r>
    </w:p>
    <w:p w14:paraId="1F60CEA2">
      <w:pPr>
        <w:ind w:firstLine="480"/>
      </w:pPr>
      <w:r>
        <w:rPr>
          <w:rFonts w:hint="eastAsia"/>
        </w:rPr>
        <w:t>（2）种植土深要求：地被植物、草本花卉以及草坪要求大于35cm；花灌木要求大于50cm；乔木和棕榈科要求大于100cm的合格土层。</w:t>
      </w:r>
    </w:p>
    <w:p w14:paraId="5FE3D69F">
      <w:pPr>
        <w:ind w:firstLine="480"/>
      </w:pPr>
      <w:r>
        <w:rPr>
          <w:rFonts w:hint="eastAsia"/>
        </w:rPr>
        <w:t>（3）种植土层换土要求：70%优良种植土，20%肥泥，10%有机肥。换土后应压实，使密实度达80%以上，以免因沉降产生坑洼。</w:t>
      </w:r>
    </w:p>
    <w:p w14:paraId="42AD6D53">
      <w:pPr>
        <w:ind w:firstLine="480"/>
      </w:pPr>
      <w:r>
        <w:rPr>
          <w:rFonts w:hint="eastAsia"/>
        </w:rPr>
        <w:t>（4）种植层须与地下层连接，无水泥板、沥青、石层等隔断层，以保持土壤毛细管、液体、气体的上下贯通。深15cm内土无任何方向上大于1cm的杂物，石块少于3%；花树木要求土深15cm内土无任何方向上大于3cm的杂物或大于5cm的石块。</w:t>
      </w:r>
    </w:p>
    <w:p w14:paraId="1247E1A5">
      <w:pPr>
        <w:ind w:firstLine="480"/>
      </w:pPr>
      <w:r>
        <w:rPr>
          <w:rFonts w:hint="eastAsia"/>
        </w:rPr>
        <w:t>（5）草地和露地花卉在施肥后应进行一次约20-30cm深的耕翻，把肥与土充分混匀，做到肥土相融，既提高土壤养分，又使土壤疏松，通气良好。乔木和灌木则应在种植前在穴边将肥土混匀，依次放入穴底和种植池。</w:t>
      </w:r>
    </w:p>
    <w:p w14:paraId="6AA83E45">
      <w:pPr>
        <w:ind w:firstLine="480"/>
      </w:pPr>
      <w:r>
        <w:rPr>
          <w:rFonts w:hint="eastAsia"/>
        </w:rPr>
        <w:t>（6）平整土方时应做到中间高四周低，利于排水；靠路边的泥土均要低于路面（或道牙石）5cm，防止泥土污染路面。</w:t>
      </w:r>
    </w:p>
    <w:p w14:paraId="1EE776EA">
      <w:pPr>
        <w:pStyle w:val="5"/>
        <w:ind w:firstLine="482"/>
      </w:pPr>
      <w:r>
        <w:rPr>
          <w:rFonts w:hint="eastAsia"/>
        </w:rPr>
        <w:t>苗木规格指标</w:t>
      </w:r>
    </w:p>
    <w:p w14:paraId="30C9AD6D">
      <w:pPr>
        <w:ind w:firstLine="480"/>
      </w:pPr>
      <w:r>
        <w:rPr>
          <w:rFonts w:hint="eastAsia"/>
        </w:rPr>
        <w:t>（1）具体苗木品种规格见图纸的“工程数量表”。</w:t>
      </w:r>
    </w:p>
    <w:p w14:paraId="440EEDD6">
      <w:pPr>
        <w:ind w:firstLine="480"/>
      </w:pPr>
      <w:r>
        <w:rPr>
          <w:rFonts w:hint="eastAsia"/>
        </w:rPr>
        <w:t>高度：为苗木种植时自然或人工修剪后的高度，要求乔木保留顶端生长点。</w:t>
      </w:r>
    </w:p>
    <w:p w14:paraId="0BC71046">
      <w:pPr>
        <w:ind w:firstLine="480"/>
      </w:pPr>
      <w:r>
        <w:rPr>
          <w:rFonts w:hint="eastAsia"/>
        </w:rPr>
        <w:t>定干高度（分枝高度）：指乔木主干最低分枝的分枝点（主干与枝的分界点）离地面的高度。</w:t>
      </w:r>
    </w:p>
    <w:p w14:paraId="6EC805A0">
      <w:pPr>
        <w:ind w:firstLine="480"/>
      </w:pPr>
      <w:r>
        <w:rPr>
          <w:rFonts w:hint="eastAsia"/>
        </w:rPr>
        <w:t>胸径：为所种植乔木主干离地面向上1.3m处的主干直径，表中规定为上限和下限，种植时最小不能小于表列下限，最大不能超过上限3cm（主景树可达5cm，详见乔木规格图解）。</w:t>
      </w:r>
    </w:p>
    <w:p w14:paraId="0A8CADCF">
      <w:pPr>
        <w:ind w:firstLine="480"/>
      </w:pPr>
      <w:r>
        <w:rPr>
          <w:rFonts w:hint="eastAsia"/>
        </w:rPr>
        <w:t>冠幅：种植时花树木经常规处理后，交叉垂直两个方向上的平均枝冠直径。灌木冠幅是指树冠展开的平均直径。草本植物的冠幅是指草本植物树冠展开的平均直径（详见乔木、灌木规格图解）。在保证花树木能移植成活和满足交通运输的前提下，应尽量保留花树木原冠幅，利于绿化尽快见效。棕榈科植物，因品种冠型特性，则按生长顶点以下留叶片数计量确定种植苗木规格。</w:t>
      </w:r>
    </w:p>
    <w:p w14:paraId="51F49A37">
      <w:pPr>
        <w:ind w:firstLine="480"/>
      </w:pPr>
      <w:r>
        <w:rPr>
          <w:rFonts w:hint="eastAsia"/>
        </w:rPr>
        <w:t>土球：为保证花树木移植成活及迅速恢复生长所需的最小带土球平均直径。所带土球应保证到放于植穴内时完好不散为及格。如苗木为假植苗或容器苗，可在保证苗木正常移植成活和迅速生长的前提下，依实确定所带土球规格。土球高度依花树木的根系分布情况按实确定。详见“苗木土球规格（附表）”。</w:t>
      </w:r>
    </w:p>
    <w:p w14:paraId="2FCD1CC7">
      <w:pPr>
        <w:ind w:firstLine="480"/>
      </w:pPr>
      <w:r>
        <w:rPr>
          <w:rFonts w:hint="eastAsia"/>
        </w:rPr>
        <w:t>冠高：为保证绿化效果，体现花树木形体美，要求花树木应有与树高成一定比例。冠高（即树冠最低分枝至树顶高度）。自然配植的景观树冠高越高越饱满越好，棕榈科植物等特形景观树应留自然生长状态下之完整冠幅。</w:t>
      </w:r>
    </w:p>
    <w:p w14:paraId="6AD5CE3D">
      <w:pPr>
        <w:ind w:firstLine="480"/>
      </w:pPr>
      <w:r>
        <w:drawing>
          <wp:inline distT="0" distB="0" distL="0" distR="0">
            <wp:extent cx="6186805" cy="1769110"/>
            <wp:effectExtent l="0" t="0" r="4445" b="254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86805" cy="1769110"/>
                    </a:xfrm>
                    <a:prstGeom prst="rect">
                      <a:avLst/>
                    </a:prstGeom>
                    <a:noFill/>
                    <a:ln>
                      <a:noFill/>
                    </a:ln>
                  </pic:spPr>
                </pic:pic>
              </a:graphicData>
            </a:graphic>
          </wp:inline>
        </w:drawing>
      </w:r>
    </w:p>
    <w:p w14:paraId="2755F319">
      <w:pPr>
        <w:ind w:firstLine="480"/>
      </w:pPr>
      <w:r>
        <w:rPr>
          <w:rFonts w:hint="eastAsia"/>
        </w:rPr>
        <w:t>（2）花草树木质量要求：</w:t>
      </w:r>
    </w:p>
    <w:p w14:paraId="275BC027">
      <w:pPr>
        <w:ind w:firstLine="480"/>
      </w:pPr>
      <w:r>
        <w:rPr>
          <w:rFonts w:hint="eastAsia"/>
        </w:rPr>
        <w:t>马尼拉草覆盖率达95%以上、纯度98%以上，以成块草皮（30×30cm）形式铺植。</w:t>
      </w:r>
    </w:p>
    <w:p w14:paraId="05E7693F">
      <w:pPr>
        <w:ind w:firstLine="480"/>
      </w:pPr>
      <w:r>
        <w:rPr>
          <w:rFonts w:hint="eastAsia"/>
        </w:rPr>
        <w:t>所有花草树木必须健康、新鲜、无病虫害、无缺乏矿物质症状，生长旺盛而不老化，树皮无人为损伤或虫害。</w:t>
      </w:r>
    </w:p>
    <w:p w14:paraId="19BD3788">
      <w:pPr>
        <w:ind w:firstLine="480"/>
      </w:pPr>
      <w:r>
        <w:rPr>
          <w:rFonts w:hint="eastAsia"/>
        </w:rPr>
        <w:t>1）乔木：</w:t>
      </w:r>
      <w:r>
        <w:rPr>
          <w:rFonts w:hint="eastAsia" w:ascii="宋体" w:hAnsi="宋体" w:cs="宋体"/>
        </w:rPr>
        <w:t>①</w:t>
      </w:r>
      <w:r>
        <w:rPr>
          <w:rFonts w:hint="eastAsia"/>
        </w:rPr>
        <w:t>、土球完整，无破裂或松散。</w:t>
      </w:r>
      <w:r>
        <w:rPr>
          <w:rFonts w:hint="eastAsia" w:ascii="宋体" w:hAnsi="宋体" w:cs="宋体"/>
        </w:rPr>
        <w:t>②</w:t>
      </w:r>
      <w:r>
        <w:rPr>
          <w:rFonts w:hint="eastAsia"/>
        </w:rPr>
        <w:t>、城市绿化工程用的乔木还要求最低分枝点到地面的高度，行道树树干通直，主干不得有机械损伤、明显伤疤、树瘤，主干路的乔木主干不得弯曲、要分枝均匀、树冠完整和匀称，造型乔木则应按设计要求。</w:t>
      </w:r>
      <w:r>
        <w:rPr>
          <w:rFonts w:hint="eastAsia" w:ascii="宋体" w:hAnsi="宋体" w:cs="宋体"/>
        </w:rPr>
        <w:t>③</w:t>
      </w:r>
      <w:r>
        <w:rPr>
          <w:rFonts w:hint="eastAsia"/>
        </w:rPr>
        <w:t>、</w:t>
      </w:r>
      <w:r>
        <w:rPr>
          <w:rFonts w:hint="eastAsia"/>
          <w:color w:val="FF0000"/>
        </w:rPr>
        <w:t>行道树要求最低分枝点为2.</w:t>
      </w:r>
      <w:r>
        <w:rPr>
          <w:color w:val="FF0000"/>
        </w:rPr>
        <w:t>6</w:t>
      </w:r>
      <w:r>
        <w:rPr>
          <w:rFonts w:hint="eastAsia"/>
          <w:color w:val="FF0000"/>
        </w:rPr>
        <w:t>5m以上</w:t>
      </w:r>
      <w:r>
        <w:rPr>
          <w:rFonts w:hint="eastAsia"/>
        </w:rPr>
        <w:t>，树干垂直偏差不超过10度，主干不弯曲，并要求冠幅达1.5m以上，分枝均匀，树冠完整均匀。</w:t>
      </w:r>
    </w:p>
    <w:p w14:paraId="0B08253D">
      <w:pPr>
        <w:ind w:firstLine="480"/>
      </w:pPr>
      <w:r>
        <w:rPr>
          <w:rFonts w:hint="eastAsia"/>
        </w:rPr>
        <w:t>2）灌木质量要求：</w:t>
      </w:r>
      <w:r>
        <w:rPr>
          <w:rFonts w:hint="eastAsia" w:ascii="宋体" w:hAnsi="宋体" w:cs="宋体"/>
        </w:rPr>
        <w:t>①</w:t>
      </w:r>
      <w:r>
        <w:rPr>
          <w:rFonts w:hint="eastAsia"/>
        </w:rPr>
        <w:t>、土球完整，无破裂或松散；</w:t>
      </w:r>
      <w:r>
        <w:rPr>
          <w:rFonts w:hint="eastAsia" w:ascii="宋体" w:hAnsi="宋体" w:cs="宋体"/>
        </w:rPr>
        <w:t>②</w:t>
      </w:r>
      <w:r>
        <w:rPr>
          <w:rFonts w:hint="eastAsia"/>
        </w:rPr>
        <w:t>、树冠要完整和匀称、有脚叶。</w:t>
      </w:r>
      <w:r>
        <w:rPr>
          <w:rFonts w:hint="eastAsia" w:ascii="宋体" w:hAnsi="宋体" w:cs="宋体"/>
        </w:rPr>
        <w:t>③</w:t>
      </w:r>
      <w:r>
        <w:rPr>
          <w:rFonts w:hint="eastAsia"/>
        </w:rPr>
        <w:t>、设计采用球形植物在种植采样时必须为成形植物，球形底部与种植土之间空隙应控制在20cm以下。</w:t>
      </w:r>
    </w:p>
    <w:p w14:paraId="52895DEA">
      <w:pPr>
        <w:ind w:firstLine="480"/>
      </w:pPr>
      <w:r>
        <w:rPr>
          <w:rFonts w:hint="eastAsia"/>
        </w:rPr>
        <w:t>3）草本植物包括花卉、地被和袋装苗，其质量要求：</w:t>
      </w:r>
      <w:r>
        <w:rPr>
          <w:rFonts w:hint="eastAsia" w:ascii="宋体" w:hAnsi="宋体" w:cs="宋体"/>
        </w:rPr>
        <w:t>①</w:t>
      </w:r>
      <w:r>
        <w:rPr>
          <w:rFonts w:hint="eastAsia"/>
        </w:rPr>
        <w:t>、叶片色泽光亮，分枝均匀、盆栽苗修剪均匀；</w:t>
      </w:r>
      <w:r>
        <w:rPr>
          <w:rFonts w:hint="eastAsia" w:ascii="宋体" w:hAnsi="宋体" w:cs="宋体"/>
        </w:rPr>
        <w:t>②</w:t>
      </w:r>
      <w:r>
        <w:rPr>
          <w:rFonts w:hint="eastAsia"/>
        </w:rPr>
        <w:t>、块装式的草皮要求无杂草，草皮生长密度不低于85%，边缘整齐（一般30×30cm/件）。</w:t>
      </w:r>
      <w:r>
        <w:rPr>
          <w:rFonts w:hint="eastAsia" w:ascii="宋体" w:hAnsi="宋体" w:cs="宋体"/>
        </w:rPr>
        <w:t>③</w:t>
      </w:r>
      <w:r>
        <w:rPr>
          <w:rFonts w:hint="eastAsia"/>
        </w:rPr>
        <w:t>、采用袋苗要求脚叶与地面基本不留空，植物表中所标明的控制高度指植物成形后，养护时的控制高度。</w:t>
      </w:r>
    </w:p>
    <w:p w14:paraId="7AE4C228">
      <w:pPr>
        <w:ind w:firstLine="480"/>
      </w:pPr>
      <w:r>
        <w:rPr>
          <w:rFonts w:hint="eastAsia"/>
        </w:rPr>
        <w:t>4）棕榈科植物的质量要求：</w:t>
      </w:r>
      <w:r>
        <w:rPr>
          <w:rFonts w:hint="eastAsia" w:ascii="宋体" w:hAnsi="宋体" w:cs="宋体"/>
        </w:rPr>
        <w:t>①</w:t>
      </w:r>
      <w:r>
        <w:rPr>
          <w:rFonts w:hint="eastAsia"/>
        </w:rPr>
        <w:t>、无病枝、枯叶、叶色鲜亮，主干粗壮；</w:t>
      </w:r>
      <w:r>
        <w:rPr>
          <w:rFonts w:hint="eastAsia" w:ascii="宋体" w:hAnsi="宋体" w:cs="宋体"/>
        </w:rPr>
        <w:t>②</w:t>
      </w:r>
      <w:r>
        <w:rPr>
          <w:rFonts w:hint="eastAsia"/>
        </w:rPr>
        <w:t>、丛生性棕榈植物要求丛生脚枝丰富粗壮。</w:t>
      </w:r>
      <w:r>
        <w:rPr>
          <w:rFonts w:hint="eastAsia" w:ascii="宋体" w:hAnsi="宋体" w:cs="宋体"/>
        </w:rPr>
        <w:t>③</w:t>
      </w:r>
      <w:r>
        <w:rPr>
          <w:rFonts w:hint="eastAsia"/>
        </w:rPr>
        <w:t>、棕榈科植物、开花乔木及主景树在种植时必须尽量保留原有的自然生长冠形。</w:t>
      </w:r>
    </w:p>
    <w:p w14:paraId="34F964CE">
      <w:pPr>
        <w:ind w:firstLine="480"/>
      </w:pPr>
      <w:r>
        <w:rPr>
          <w:rFonts w:hint="eastAsia"/>
        </w:rPr>
        <w:t>5）藤本植物的质量要求：</w:t>
      </w:r>
      <w:r>
        <w:rPr>
          <w:rFonts w:hint="eastAsia" w:ascii="宋体" w:hAnsi="宋体" w:cs="宋体"/>
        </w:rPr>
        <w:t>①</w:t>
      </w:r>
      <w:r>
        <w:rPr>
          <w:rFonts w:hint="eastAsia"/>
        </w:rPr>
        <w:t>、土球完整，无破裂或松散；</w:t>
      </w:r>
      <w:r>
        <w:rPr>
          <w:rFonts w:hint="eastAsia" w:ascii="宋体" w:hAnsi="宋体" w:cs="宋体"/>
        </w:rPr>
        <w:t>②</w:t>
      </w:r>
      <w:r>
        <w:rPr>
          <w:rFonts w:hint="eastAsia"/>
        </w:rPr>
        <w:t>、藤本植物需茎干粗壮，顶端生长良好。</w:t>
      </w:r>
    </w:p>
    <w:p w14:paraId="5E9CF871">
      <w:pPr>
        <w:ind w:firstLine="480"/>
      </w:pPr>
      <w:r>
        <w:rPr>
          <w:rFonts w:hint="eastAsia"/>
        </w:rPr>
        <w:t>6）竹类的质量要求：</w:t>
      </w:r>
      <w:r>
        <w:rPr>
          <w:rFonts w:hint="eastAsia" w:ascii="宋体" w:hAnsi="宋体" w:cs="宋体"/>
        </w:rPr>
        <w:t>①</w:t>
      </w:r>
      <w:r>
        <w:rPr>
          <w:rFonts w:hint="eastAsia"/>
        </w:rPr>
        <w:t>、土球完整，无破裂或松散；</w:t>
      </w:r>
      <w:r>
        <w:rPr>
          <w:rFonts w:hint="eastAsia" w:ascii="宋体" w:hAnsi="宋体" w:cs="宋体"/>
        </w:rPr>
        <w:t>②</w:t>
      </w:r>
      <w:r>
        <w:rPr>
          <w:rFonts w:hint="eastAsia"/>
        </w:rPr>
        <w:t>、节间均匀、茎干粗壮。</w:t>
      </w:r>
    </w:p>
    <w:p w14:paraId="46F3FD70">
      <w:pPr>
        <w:ind w:firstLine="480"/>
      </w:pPr>
      <w:r>
        <w:rPr>
          <w:rFonts w:hint="eastAsia"/>
        </w:rPr>
        <w:t>所有苗木的冠型应生长茂盛，分枝均衡，整冠饱满，能充分体现个体的自然景观美，严格按设计规格选苗，花灌木选用容器苗，地苗选用假植苗，应保证移植根系完好，带好土球，包装结实牢靠。所有截干乔木锯口处要干净、光滑、无撕裂或分裂。正常截口应用蜡或漆封盖。</w:t>
      </w:r>
    </w:p>
    <w:p w14:paraId="194E8B3B">
      <w:pPr>
        <w:ind w:firstLine="480"/>
      </w:pPr>
      <w:r>
        <w:rPr>
          <w:rFonts w:hint="eastAsia"/>
        </w:rPr>
        <w:t>（3）对本地无苗源或苗源不足的树种，应提前在苗源地对苗木进行技术处理，以保证移植到道路的苗木有较好的绿化初期效果。</w:t>
      </w:r>
    </w:p>
    <w:p w14:paraId="75400C3B">
      <w:pPr>
        <w:ind w:firstLine="480"/>
      </w:pPr>
      <w:r>
        <w:rPr>
          <w:rFonts w:hint="eastAsia"/>
        </w:rPr>
        <w:t>（4）花树木苗木规格的确定要求施工单位认真选苗和对苗木进行前期技术处理，以保证苗木符合设计要求。</w:t>
      </w:r>
    </w:p>
    <w:p w14:paraId="35221D4F">
      <w:pPr>
        <w:ind w:firstLine="480"/>
      </w:pPr>
      <w:r>
        <w:rPr>
          <w:rFonts w:hint="eastAsia"/>
        </w:rPr>
        <w:t>（5）花草树木的包装、运输，按园林市场常规处理，保证苗木质量。</w:t>
      </w:r>
    </w:p>
    <w:p w14:paraId="78CB2C7F">
      <w:pPr>
        <w:pStyle w:val="5"/>
        <w:ind w:firstLine="482"/>
      </w:pPr>
      <w:r>
        <w:rPr>
          <w:rFonts w:hint="eastAsia"/>
        </w:rPr>
        <w:t>树穴要求</w:t>
      </w:r>
    </w:p>
    <w:p w14:paraId="25770B4F">
      <w:pPr>
        <w:ind w:firstLine="480"/>
      </w:pPr>
      <w:r>
        <w:rPr>
          <w:rFonts w:hint="eastAsia"/>
        </w:rPr>
        <w:t>（1）按设计的土球规格，以《广东省园林绿化工程综合定额》（2010）所定挖穴规格标准施工验收（详见附表）。按施工平面图所标具体尺寸定点放线；如为不规则造型，应按方格网及图中比例尺寸定点放线。要求定点放线准确，符合设计要求。扩大穴规格统一为：灌木80cm×60cm（直径×深度）圆形穴，乔木120cm×120cm×80cm（长×宽×深）方形穴。标准穴其直径随土球增大而递增，具体尺寸见“苗木土球规格（附表）”（表为乔灌木的规定说明，其余绿化种植的规定说明详定额的具体规定）。</w:t>
      </w:r>
    </w:p>
    <w:p w14:paraId="62F9A340">
      <w:pPr>
        <w:ind w:firstLine="0" w:firstLineChars="0"/>
        <w:jc w:val="center"/>
        <w:rPr>
          <w:b/>
          <w:bCs/>
        </w:rPr>
      </w:pPr>
      <w:r>
        <w:rPr>
          <w:rFonts w:hint="eastAsia"/>
          <w:b/>
          <w:bCs/>
        </w:rPr>
        <w:t>苗木土球规格（附表）</w:t>
      </w:r>
    </w:p>
    <w:tbl>
      <w:tblPr>
        <w:tblStyle w:val="17"/>
        <w:tblW w:w="9915" w:type="dxa"/>
        <w:jc w:val="cente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Layout w:type="fixed"/>
        <w:tblCellMar>
          <w:top w:w="0" w:type="dxa"/>
          <w:left w:w="108" w:type="dxa"/>
          <w:bottom w:w="0" w:type="dxa"/>
          <w:right w:w="108" w:type="dxa"/>
        </w:tblCellMar>
      </w:tblPr>
      <w:tblGrid>
        <w:gridCol w:w="3226"/>
        <w:gridCol w:w="1701"/>
        <w:gridCol w:w="1701"/>
        <w:gridCol w:w="1701"/>
        <w:gridCol w:w="1586"/>
      </w:tblGrid>
      <w:tr w14:paraId="063C3365">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1DF8A804">
            <w:pPr>
              <w:spacing w:line="240" w:lineRule="auto"/>
              <w:ind w:firstLine="0" w:firstLineChars="0"/>
              <w:jc w:val="center"/>
              <w:rPr>
                <w:bCs/>
                <w:sz w:val="21"/>
                <w:szCs w:val="21"/>
              </w:rPr>
            </w:pPr>
            <w:r>
              <w:rPr>
                <w:rFonts w:hint="eastAsia"/>
                <w:bCs/>
                <w:sz w:val="21"/>
                <w:szCs w:val="21"/>
              </w:rPr>
              <w:t>灌木（苗高×冠幅）（cm）</w:t>
            </w:r>
          </w:p>
        </w:tc>
        <w:tc>
          <w:tcPr>
            <w:tcW w:w="1701" w:type="dxa"/>
            <w:vAlign w:val="center"/>
          </w:tcPr>
          <w:p w14:paraId="67526C28">
            <w:pPr>
              <w:spacing w:line="240" w:lineRule="auto"/>
              <w:ind w:firstLine="0" w:firstLineChars="0"/>
              <w:jc w:val="center"/>
              <w:rPr>
                <w:bCs/>
                <w:sz w:val="21"/>
                <w:szCs w:val="21"/>
              </w:rPr>
            </w:pPr>
            <w:r>
              <w:rPr>
                <w:rFonts w:hint="eastAsia"/>
                <w:bCs/>
                <w:sz w:val="21"/>
                <w:szCs w:val="21"/>
              </w:rPr>
              <w:t>60×40</w:t>
            </w:r>
          </w:p>
        </w:tc>
        <w:tc>
          <w:tcPr>
            <w:tcW w:w="1701" w:type="dxa"/>
            <w:vAlign w:val="center"/>
          </w:tcPr>
          <w:p w14:paraId="600C180A">
            <w:pPr>
              <w:spacing w:line="240" w:lineRule="auto"/>
              <w:ind w:firstLine="0" w:firstLineChars="0"/>
              <w:jc w:val="center"/>
              <w:rPr>
                <w:bCs/>
                <w:sz w:val="21"/>
                <w:szCs w:val="21"/>
              </w:rPr>
            </w:pPr>
            <w:r>
              <w:rPr>
                <w:rFonts w:hint="eastAsia"/>
                <w:bCs/>
                <w:sz w:val="21"/>
                <w:szCs w:val="21"/>
              </w:rPr>
              <w:t>80×60</w:t>
            </w:r>
          </w:p>
        </w:tc>
        <w:tc>
          <w:tcPr>
            <w:tcW w:w="1701" w:type="dxa"/>
            <w:vAlign w:val="center"/>
          </w:tcPr>
          <w:p w14:paraId="4B032BD9">
            <w:pPr>
              <w:spacing w:line="240" w:lineRule="auto"/>
              <w:ind w:firstLine="0" w:firstLineChars="0"/>
              <w:jc w:val="center"/>
              <w:rPr>
                <w:bCs/>
                <w:sz w:val="21"/>
                <w:szCs w:val="21"/>
              </w:rPr>
            </w:pPr>
            <w:r>
              <w:rPr>
                <w:rFonts w:hint="eastAsia"/>
                <w:bCs/>
                <w:sz w:val="21"/>
                <w:szCs w:val="21"/>
              </w:rPr>
              <w:t>100×80</w:t>
            </w:r>
          </w:p>
        </w:tc>
        <w:tc>
          <w:tcPr>
            <w:tcW w:w="1586" w:type="dxa"/>
            <w:vAlign w:val="center"/>
          </w:tcPr>
          <w:p w14:paraId="53B5F31B">
            <w:pPr>
              <w:spacing w:line="240" w:lineRule="auto"/>
              <w:ind w:firstLine="0" w:firstLineChars="0"/>
              <w:jc w:val="center"/>
              <w:rPr>
                <w:bCs/>
                <w:sz w:val="21"/>
                <w:szCs w:val="21"/>
              </w:rPr>
            </w:pPr>
            <w:r>
              <w:rPr>
                <w:rFonts w:hint="eastAsia"/>
                <w:bCs/>
                <w:sz w:val="21"/>
                <w:szCs w:val="21"/>
              </w:rPr>
              <w:t>120×100</w:t>
            </w:r>
          </w:p>
        </w:tc>
      </w:tr>
      <w:tr w14:paraId="4810A624">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4E8C6256">
            <w:pPr>
              <w:spacing w:line="240" w:lineRule="auto"/>
              <w:ind w:firstLine="0" w:firstLineChars="0"/>
              <w:jc w:val="center"/>
              <w:rPr>
                <w:bCs/>
                <w:sz w:val="21"/>
                <w:szCs w:val="21"/>
              </w:rPr>
            </w:pPr>
            <w:r>
              <w:rPr>
                <w:rFonts w:hint="eastAsia"/>
                <w:bCs/>
                <w:sz w:val="21"/>
                <w:szCs w:val="21"/>
              </w:rPr>
              <w:t>灌木胸径（cm）</w:t>
            </w:r>
          </w:p>
        </w:tc>
        <w:tc>
          <w:tcPr>
            <w:tcW w:w="1701" w:type="dxa"/>
            <w:vAlign w:val="center"/>
          </w:tcPr>
          <w:p w14:paraId="7AA5635E">
            <w:pPr>
              <w:spacing w:line="240" w:lineRule="auto"/>
              <w:ind w:firstLine="0" w:firstLineChars="0"/>
              <w:jc w:val="center"/>
              <w:rPr>
                <w:bCs/>
                <w:sz w:val="21"/>
                <w:szCs w:val="21"/>
              </w:rPr>
            </w:pPr>
            <w:r>
              <w:rPr>
                <w:rFonts w:hint="eastAsia"/>
                <w:bCs/>
                <w:sz w:val="21"/>
                <w:szCs w:val="21"/>
              </w:rPr>
              <w:t>1-2</w:t>
            </w:r>
          </w:p>
        </w:tc>
        <w:tc>
          <w:tcPr>
            <w:tcW w:w="1701" w:type="dxa"/>
            <w:vAlign w:val="center"/>
          </w:tcPr>
          <w:p w14:paraId="35E1FD18">
            <w:pPr>
              <w:spacing w:line="240" w:lineRule="auto"/>
              <w:ind w:firstLine="0" w:firstLineChars="0"/>
              <w:jc w:val="center"/>
              <w:rPr>
                <w:bCs/>
                <w:sz w:val="21"/>
                <w:szCs w:val="21"/>
              </w:rPr>
            </w:pPr>
            <w:r>
              <w:rPr>
                <w:rFonts w:hint="eastAsia"/>
                <w:bCs/>
                <w:sz w:val="21"/>
                <w:szCs w:val="21"/>
              </w:rPr>
              <w:t>2-3</w:t>
            </w:r>
          </w:p>
        </w:tc>
        <w:tc>
          <w:tcPr>
            <w:tcW w:w="1701" w:type="dxa"/>
            <w:vAlign w:val="center"/>
          </w:tcPr>
          <w:p w14:paraId="39B74395">
            <w:pPr>
              <w:spacing w:line="240" w:lineRule="auto"/>
              <w:ind w:firstLine="0" w:firstLineChars="0"/>
              <w:jc w:val="center"/>
              <w:rPr>
                <w:bCs/>
                <w:sz w:val="21"/>
                <w:szCs w:val="21"/>
              </w:rPr>
            </w:pPr>
            <w:r>
              <w:rPr>
                <w:rFonts w:hint="eastAsia"/>
                <w:bCs/>
                <w:sz w:val="21"/>
                <w:szCs w:val="21"/>
              </w:rPr>
              <w:t>3-4</w:t>
            </w:r>
          </w:p>
        </w:tc>
        <w:tc>
          <w:tcPr>
            <w:tcW w:w="1586" w:type="dxa"/>
            <w:vAlign w:val="center"/>
          </w:tcPr>
          <w:p w14:paraId="46A87801">
            <w:pPr>
              <w:spacing w:line="240" w:lineRule="auto"/>
              <w:ind w:firstLine="0" w:firstLineChars="0"/>
              <w:jc w:val="center"/>
              <w:rPr>
                <w:bCs/>
                <w:sz w:val="21"/>
                <w:szCs w:val="21"/>
              </w:rPr>
            </w:pPr>
            <w:r>
              <w:rPr>
                <w:rFonts w:hint="eastAsia"/>
                <w:bCs/>
                <w:sz w:val="21"/>
                <w:szCs w:val="21"/>
              </w:rPr>
              <w:t>5-6</w:t>
            </w:r>
          </w:p>
        </w:tc>
      </w:tr>
      <w:tr w14:paraId="2136A200">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41C27C82">
            <w:pPr>
              <w:spacing w:line="240" w:lineRule="auto"/>
              <w:ind w:firstLine="0" w:firstLineChars="0"/>
              <w:jc w:val="center"/>
              <w:rPr>
                <w:bCs/>
                <w:sz w:val="21"/>
                <w:szCs w:val="21"/>
              </w:rPr>
            </w:pPr>
            <w:r>
              <w:rPr>
                <w:rFonts w:hint="eastAsia"/>
                <w:bCs/>
                <w:sz w:val="21"/>
                <w:szCs w:val="21"/>
              </w:rPr>
              <w:t>土球直径（cm）</w:t>
            </w:r>
          </w:p>
        </w:tc>
        <w:tc>
          <w:tcPr>
            <w:tcW w:w="1701" w:type="dxa"/>
            <w:vAlign w:val="center"/>
          </w:tcPr>
          <w:p w14:paraId="5D2F615D">
            <w:pPr>
              <w:spacing w:line="240" w:lineRule="auto"/>
              <w:ind w:firstLine="0" w:firstLineChars="0"/>
              <w:jc w:val="center"/>
              <w:rPr>
                <w:bCs/>
                <w:sz w:val="21"/>
                <w:szCs w:val="21"/>
              </w:rPr>
            </w:pPr>
            <w:r>
              <w:rPr>
                <w:rFonts w:hint="eastAsia"/>
                <w:bCs/>
                <w:sz w:val="21"/>
                <w:szCs w:val="21"/>
              </w:rPr>
              <w:t>20</w:t>
            </w:r>
          </w:p>
        </w:tc>
        <w:tc>
          <w:tcPr>
            <w:tcW w:w="1701" w:type="dxa"/>
            <w:vAlign w:val="center"/>
          </w:tcPr>
          <w:p w14:paraId="7DB71A54">
            <w:pPr>
              <w:spacing w:line="240" w:lineRule="auto"/>
              <w:ind w:firstLine="0" w:firstLineChars="0"/>
              <w:jc w:val="center"/>
              <w:rPr>
                <w:bCs/>
                <w:sz w:val="21"/>
                <w:szCs w:val="21"/>
              </w:rPr>
            </w:pPr>
            <w:r>
              <w:rPr>
                <w:rFonts w:hint="eastAsia"/>
                <w:bCs/>
                <w:sz w:val="21"/>
                <w:szCs w:val="21"/>
              </w:rPr>
              <w:t>30</w:t>
            </w:r>
          </w:p>
        </w:tc>
        <w:tc>
          <w:tcPr>
            <w:tcW w:w="1701" w:type="dxa"/>
            <w:vAlign w:val="center"/>
          </w:tcPr>
          <w:p w14:paraId="7479F7C8">
            <w:pPr>
              <w:spacing w:line="240" w:lineRule="auto"/>
              <w:ind w:firstLine="0" w:firstLineChars="0"/>
              <w:jc w:val="center"/>
              <w:rPr>
                <w:bCs/>
                <w:sz w:val="21"/>
                <w:szCs w:val="21"/>
              </w:rPr>
            </w:pPr>
            <w:r>
              <w:rPr>
                <w:rFonts w:hint="eastAsia"/>
                <w:bCs/>
                <w:sz w:val="21"/>
                <w:szCs w:val="21"/>
              </w:rPr>
              <w:t>40</w:t>
            </w:r>
          </w:p>
        </w:tc>
        <w:tc>
          <w:tcPr>
            <w:tcW w:w="1586" w:type="dxa"/>
            <w:vAlign w:val="center"/>
          </w:tcPr>
          <w:p w14:paraId="0623A9D2">
            <w:pPr>
              <w:spacing w:line="240" w:lineRule="auto"/>
              <w:ind w:firstLine="0" w:firstLineChars="0"/>
              <w:jc w:val="center"/>
              <w:rPr>
                <w:bCs/>
                <w:sz w:val="21"/>
                <w:szCs w:val="21"/>
              </w:rPr>
            </w:pPr>
            <w:r>
              <w:rPr>
                <w:rFonts w:hint="eastAsia"/>
                <w:bCs/>
                <w:sz w:val="21"/>
                <w:szCs w:val="21"/>
              </w:rPr>
              <w:t>50</w:t>
            </w:r>
          </w:p>
        </w:tc>
      </w:tr>
      <w:tr w14:paraId="3A3F0EEA">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47F1A321">
            <w:pPr>
              <w:spacing w:line="240" w:lineRule="auto"/>
              <w:ind w:firstLine="0" w:firstLineChars="0"/>
              <w:jc w:val="center"/>
              <w:rPr>
                <w:bCs/>
                <w:sz w:val="21"/>
                <w:szCs w:val="21"/>
              </w:rPr>
            </w:pPr>
            <w:r>
              <w:rPr>
                <w:rFonts w:hint="eastAsia"/>
                <w:bCs/>
                <w:sz w:val="21"/>
                <w:szCs w:val="21"/>
              </w:rPr>
              <w:t>树穴规格直径×深度（cm）</w:t>
            </w:r>
          </w:p>
        </w:tc>
        <w:tc>
          <w:tcPr>
            <w:tcW w:w="1701" w:type="dxa"/>
            <w:vAlign w:val="center"/>
          </w:tcPr>
          <w:p w14:paraId="1C0C0D9F">
            <w:pPr>
              <w:spacing w:line="240" w:lineRule="auto"/>
              <w:ind w:firstLine="0" w:firstLineChars="0"/>
              <w:jc w:val="center"/>
              <w:rPr>
                <w:bCs/>
                <w:sz w:val="21"/>
                <w:szCs w:val="21"/>
              </w:rPr>
            </w:pPr>
            <w:r>
              <w:rPr>
                <w:rFonts w:hint="eastAsia"/>
                <w:bCs/>
                <w:sz w:val="21"/>
                <w:szCs w:val="21"/>
              </w:rPr>
              <w:t>40×30</w:t>
            </w:r>
          </w:p>
        </w:tc>
        <w:tc>
          <w:tcPr>
            <w:tcW w:w="1701" w:type="dxa"/>
            <w:vAlign w:val="center"/>
          </w:tcPr>
          <w:p w14:paraId="15733E11">
            <w:pPr>
              <w:spacing w:line="240" w:lineRule="auto"/>
              <w:ind w:firstLine="0" w:firstLineChars="0"/>
              <w:jc w:val="center"/>
              <w:rPr>
                <w:bCs/>
                <w:sz w:val="21"/>
                <w:szCs w:val="21"/>
              </w:rPr>
            </w:pPr>
            <w:r>
              <w:rPr>
                <w:rFonts w:hint="eastAsia"/>
                <w:bCs/>
                <w:sz w:val="21"/>
                <w:szCs w:val="21"/>
              </w:rPr>
              <w:t>50×40</w:t>
            </w:r>
          </w:p>
        </w:tc>
        <w:tc>
          <w:tcPr>
            <w:tcW w:w="1701" w:type="dxa"/>
            <w:vAlign w:val="center"/>
          </w:tcPr>
          <w:p w14:paraId="0120D996">
            <w:pPr>
              <w:spacing w:line="240" w:lineRule="auto"/>
              <w:ind w:firstLine="0" w:firstLineChars="0"/>
              <w:jc w:val="center"/>
              <w:rPr>
                <w:bCs/>
                <w:sz w:val="21"/>
                <w:szCs w:val="21"/>
              </w:rPr>
            </w:pPr>
            <w:r>
              <w:rPr>
                <w:rFonts w:hint="eastAsia"/>
                <w:bCs/>
                <w:sz w:val="21"/>
                <w:szCs w:val="21"/>
              </w:rPr>
              <w:t>60×50</w:t>
            </w:r>
          </w:p>
        </w:tc>
        <w:tc>
          <w:tcPr>
            <w:tcW w:w="1586" w:type="dxa"/>
            <w:vAlign w:val="center"/>
          </w:tcPr>
          <w:p w14:paraId="644806F0">
            <w:pPr>
              <w:spacing w:line="240" w:lineRule="auto"/>
              <w:ind w:firstLine="0" w:firstLineChars="0"/>
              <w:jc w:val="center"/>
              <w:rPr>
                <w:bCs/>
                <w:sz w:val="21"/>
                <w:szCs w:val="21"/>
              </w:rPr>
            </w:pPr>
            <w:r>
              <w:rPr>
                <w:rFonts w:hint="eastAsia"/>
                <w:bCs/>
                <w:sz w:val="21"/>
                <w:szCs w:val="21"/>
              </w:rPr>
              <w:t>80×60</w:t>
            </w:r>
          </w:p>
        </w:tc>
      </w:tr>
      <w:tr w14:paraId="501FBD5C">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202BF144">
            <w:pPr>
              <w:spacing w:line="240" w:lineRule="auto"/>
              <w:ind w:firstLine="0" w:firstLineChars="0"/>
              <w:jc w:val="center"/>
              <w:rPr>
                <w:bCs/>
                <w:sz w:val="21"/>
                <w:szCs w:val="21"/>
              </w:rPr>
            </w:pPr>
            <w:r>
              <w:rPr>
                <w:rFonts w:hint="eastAsia"/>
                <w:bCs/>
                <w:sz w:val="21"/>
                <w:szCs w:val="21"/>
              </w:rPr>
              <w:t>乔木胸径（cm）</w:t>
            </w:r>
          </w:p>
        </w:tc>
        <w:tc>
          <w:tcPr>
            <w:tcW w:w="1701" w:type="dxa"/>
            <w:vAlign w:val="center"/>
          </w:tcPr>
          <w:p w14:paraId="50D37167">
            <w:pPr>
              <w:spacing w:line="240" w:lineRule="auto"/>
              <w:ind w:firstLine="0" w:firstLineChars="0"/>
              <w:jc w:val="center"/>
              <w:rPr>
                <w:bCs/>
                <w:sz w:val="21"/>
                <w:szCs w:val="21"/>
              </w:rPr>
            </w:pPr>
            <w:r>
              <w:rPr>
                <w:rFonts w:hint="eastAsia"/>
                <w:bCs/>
                <w:sz w:val="21"/>
                <w:szCs w:val="21"/>
              </w:rPr>
              <w:t>7-8</w:t>
            </w:r>
          </w:p>
        </w:tc>
        <w:tc>
          <w:tcPr>
            <w:tcW w:w="1701" w:type="dxa"/>
            <w:vAlign w:val="center"/>
          </w:tcPr>
          <w:p w14:paraId="5AB262FE">
            <w:pPr>
              <w:spacing w:line="240" w:lineRule="auto"/>
              <w:ind w:firstLine="0" w:firstLineChars="0"/>
              <w:jc w:val="center"/>
              <w:rPr>
                <w:bCs/>
                <w:sz w:val="21"/>
                <w:szCs w:val="21"/>
              </w:rPr>
            </w:pPr>
            <w:r>
              <w:rPr>
                <w:rFonts w:hint="eastAsia"/>
                <w:bCs/>
                <w:sz w:val="21"/>
                <w:szCs w:val="21"/>
              </w:rPr>
              <w:t>9-10</w:t>
            </w:r>
          </w:p>
        </w:tc>
        <w:tc>
          <w:tcPr>
            <w:tcW w:w="1701" w:type="dxa"/>
            <w:vAlign w:val="center"/>
          </w:tcPr>
          <w:p w14:paraId="088C9DAB">
            <w:pPr>
              <w:spacing w:line="240" w:lineRule="auto"/>
              <w:ind w:firstLine="0" w:firstLineChars="0"/>
              <w:jc w:val="center"/>
              <w:rPr>
                <w:bCs/>
                <w:sz w:val="21"/>
                <w:szCs w:val="21"/>
              </w:rPr>
            </w:pPr>
            <w:r>
              <w:rPr>
                <w:rFonts w:hint="eastAsia"/>
                <w:bCs/>
                <w:sz w:val="21"/>
                <w:szCs w:val="21"/>
              </w:rPr>
              <w:t>11-12</w:t>
            </w:r>
          </w:p>
        </w:tc>
        <w:tc>
          <w:tcPr>
            <w:tcW w:w="1586" w:type="dxa"/>
            <w:vAlign w:val="center"/>
          </w:tcPr>
          <w:p w14:paraId="1589521C">
            <w:pPr>
              <w:spacing w:line="240" w:lineRule="auto"/>
              <w:ind w:firstLine="0" w:firstLineChars="0"/>
              <w:jc w:val="center"/>
              <w:rPr>
                <w:bCs/>
                <w:sz w:val="21"/>
                <w:szCs w:val="21"/>
              </w:rPr>
            </w:pPr>
            <w:r>
              <w:rPr>
                <w:rFonts w:hint="eastAsia"/>
                <w:bCs/>
                <w:sz w:val="21"/>
                <w:szCs w:val="21"/>
              </w:rPr>
              <w:t>13-15</w:t>
            </w:r>
          </w:p>
        </w:tc>
      </w:tr>
      <w:tr w14:paraId="42B56BB9">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6CB04D4F">
            <w:pPr>
              <w:spacing w:line="240" w:lineRule="auto"/>
              <w:ind w:firstLine="0" w:firstLineChars="0"/>
              <w:jc w:val="center"/>
              <w:rPr>
                <w:bCs/>
                <w:sz w:val="21"/>
                <w:szCs w:val="21"/>
              </w:rPr>
            </w:pPr>
            <w:r>
              <w:rPr>
                <w:rFonts w:hint="eastAsia"/>
                <w:bCs/>
                <w:sz w:val="21"/>
                <w:szCs w:val="21"/>
              </w:rPr>
              <w:t>土球直径（cm）</w:t>
            </w:r>
          </w:p>
        </w:tc>
        <w:tc>
          <w:tcPr>
            <w:tcW w:w="1701" w:type="dxa"/>
            <w:vAlign w:val="center"/>
          </w:tcPr>
          <w:p w14:paraId="4292B634">
            <w:pPr>
              <w:spacing w:line="240" w:lineRule="auto"/>
              <w:ind w:firstLine="0" w:firstLineChars="0"/>
              <w:jc w:val="center"/>
              <w:rPr>
                <w:bCs/>
                <w:sz w:val="21"/>
                <w:szCs w:val="21"/>
              </w:rPr>
            </w:pPr>
            <w:r>
              <w:rPr>
                <w:rFonts w:hint="eastAsia"/>
                <w:bCs/>
                <w:sz w:val="21"/>
                <w:szCs w:val="21"/>
              </w:rPr>
              <w:t>60</w:t>
            </w:r>
          </w:p>
        </w:tc>
        <w:tc>
          <w:tcPr>
            <w:tcW w:w="1701" w:type="dxa"/>
            <w:vAlign w:val="center"/>
          </w:tcPr>
          <w:p w14:paraId="1164AEF4">
            <w:pPr>
              <w:spacing w:line="240" w:lineRule="auto"/>
              <w:ind w:firstLine="0" w:firstLineChars="0"/>
              <w:jc w:val="center"/>
              <w:rPr>
                <w:bCs/>
                <w:sz w:val="21"/>
                <w:szCs w:val="21"/>
              </w:rPr>
            </w:pPr>
            <w:r>
              <w:rPr>
                <w:rFonts w:hint="eastAsia"/>
                <w:bCs/>
                <w:sz w:val="21"/>
                <w:szCs w:val="21"/>
              </w:rPr>
              <w:t>70</w:t>
            </w:r>
          </w:p>
        </w:tc>
        <w:tc>
          <w:tcPr>
            <w:tcW w:w="1701" w:type="dxa"/>
            <w:vAlign w:val="center"/>
          </w:tcPr>
          <w:p w14:paraId="5E9873BF">
            <w:pPr>
              <w:spacing w:line="240" w:lineRule="auto"/>
              <w:ind w:firstLine="0" w:firstLineChars="0"/>
              <w:jc w:val="center"/>
              <w:rPr>
                <w:bCs/>
                <w:sz w:val="21"/>
                <w:szCs w:val="21"/>
              </w:rPr>
            </w:pPr>
            <w:r>
              <w:rPr>
                <w:rFonts w:hint="eastAsia"/>
                <w:bCs/>
                <w:sz w:val="21"/>
                <w:szCs w:val="21"/>
              </w:rPr>
              <w:t>80</w:t>
            </w:r>
          </w:p>
        </w:tc>
        <w:tc>
          <w:tcPr>
            <w:tcW w:w="1586" w:type="dxa"/>
            <w:vAlign w:val="center"/>
          </w:tcPr>
          <w:p w14:paraId="199D4D91">
            <w:pPr>
              <w:spacing w:line="240" w:lineRule="auto"/>
              <w:ind w:firstLine="0" w:firstLineChars="0"/>
              <w:jc w:val="center"/>
              <w:rPr>
                <w:bCs/>
                <w:sz w:val="21"/>
                <w:szCs w:val="21"/>
              </w:rPr>
            </w:pPr>
            <w:r>
              <w:rPr>
                <w:rFonts w:hint="eastAsia"/>
                <w:bCs/>
                <w:sz w:val="21"/>
                <w:szCs w:val="21"/>
              </w:rPr>
              <w:t>90</w:t>
            </w:r>
          </w:p>
        </w:tc>
      </w:tr>
      <w:tr w14:paraId="128E947B">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44F26CF3">
            <w:pPr>
              <w:spacing w:line="240" w:lineRule="auto"/>
              <w:ind w:firstLine="0" w:firstLineChars="0"/>
              <w:jc w:val="center"/>
              <w:rPr>
                <w:bCs/>
                <w:sz w:val="21"/>
                <w:szCs w:val="21"/>
              </w:rPr>
            </w:pPr>
            <w:r>
              <w:rPr>
                <w:rFonts w:hint="eastAsia"/>
                <w:bCs/>
                <w:sz w:val="21"/>
                <w:szCs w:val="21"/>
              </w:rPr>
              <w:t>树穴规格直径×深度（cm）</w:t>
            </w:r>
          </w:p>
        </w:tc>
        <w:tc>
          <w:tcPr>
            <w:tcW w:w="1701" w:type="dxa"/>
            <w:vAlign w:val="center"/>
          </w:tcPr>
          <w:p w14:paraId="234A90D4">
            <w:pPr>
              <w:spacing w:line="240" w:lineRule="auto"/>
              <w:ind w:firstLine="0" w:firstLineChars="0"/>
              <w:jc w:val="center"/>
              <w:rPr>
                <w:bCs/>
                <w:sz w:val="21"/>
                <w:szCs w:val="21"/>
              </w:rPr>
            </w:pPr>
            <w:r>
              <w:rPr>
                <w:rFonts w:hint="eastAsia"/>
                <w:bCs/>
                <w:sz w:val="21"/>
                <w:szCs w:val="21"/>
              </w:rPr>
              <w:t>90×70</w:t>
            </w:r>
          </w:p>
        </w:tc>
        <w:tc>
          <w:tcPr>
            <w:tcW w:w="1701" w:type="dxa"/>
            <w:vAlign w:val="center"/>
          </w:tcPr>
          <w:p w14:paraId="7EA2D3BA">
            <w:pPr>
              <w:spacing w:line="240" w:lineRule="auto"/>
              <w:ind w:firstLine="0" w:firstLineChars="0"/>
              <w:jc w:val="center"/>
              <w:rPr>
                <w:bCs/>
                <w:sz w:val="21"/>
                <w:szCs w:val="21"/>
              </w:rPr>
            </w:pPr>
            <w:r>
              <w:rPr>
                <w:rFonts w:hint="eastAsia"/>
                <w:bCs/>
                <w:sz w:val="21"/>
                <w:szCs w:val="21"/>
              </w:rPr>
              <w:t>100×80</w:t>
            </w:r>
          </w:p>
        </w:tc>
        <w:tc>
          <w:tcPr>
            <w:tcW w:w="1701" w:type="dxa"/>
            <w:vAlign w:val="center"/>
          </w:tcPr>
          <w:p w14:paraId="47A1880C">
            <w:pPr>
              <w:spacing w:line="240" w:lineRule="auto"/>
              <w:ind w:firstLine="0" w:firstLineChars="0"/>
              <w:jc w:val="center"/>
              <w:rPr>
                <w:bCs/>
                <w:sz w:val="21"/>
                <w:szCs w:val="21"/>
              </w:rPr>
            </w:pPr>
            <w:r>
              <w:rPr>
                <w:rFonts w:hint="eastAsia"/>
                <w:bCs/>
                <w:sz w:val="21"/>
                <w:szCs w:val="21"/>
              </w:rPr>
              <w:t>110×90</w:t>
            </w:r>
          </w:p>
        </w:tc>
        <w:tc>
          <w:tcPr>
            <w:tcW w:w="1586" w:type="dxa"/>
            <w:vAlign w:val="center"/>
          </w:tcPr>
          <w:p w14:paraId="1AED0968">
            <w:pPr>
              <w:spacing w:line="240" w:lineRule="auto"/>
              <w:ind w:firstLine="0" w:firstLineChars="0"/>
              <w:jc w:val="center"/>
              <w:rPr>
                <w:bCs/>
                <w:sz w:val="21"/>
                <w:szCs w:val="21"/>
              </w:rPr>
            </w:pPr>
            <w:r>
              <w:rPr>
                <w:rFonts w:hint="eastAsia"/>
                <w:bCs/>
                <w:sz w:val="21"/>
                <w:szCs w:val="21"/>
              </w:rPr>
              <w:t>120×100</w:t>
            </w:r>
          </w:p>
        </w:tc>
      </w:tr>
      <w:tr w14:paraId="75CCB5D0">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02E2E0EB">
            <w:pPr>
              <w:spacing w:line="240" w:lineRule="auto"/>
              <w:ind w:firstLine="0" w:firstLineChars="0"/>
              <w:jc w:val="center"/>
              <w:rPr>
                <w:bCs/>
                <w:sz w:val="21"/>
                <w:szCs w:val="21"/>
              </w:rPr>
            </w:pPr>
            <w:r>
              <w:rPr>
                <w:rFonts w:hint="eastAsia"/>
                <w:bCs/>
                <w:sz w:val="21"/>
                <w:szCs w:val="21"/>
              </w:rPr>
              <w:t>乔木胸径（cm）</w:t>
            </w:r>
          </w:p>
        </w:tc>
        <w:tc>
          <w:tcPr>
            <w:tcW w:w="1701" w:type="dxa"/>
            <w:vAlign w:val="center"/>
          </w:tcPr>
          <w:p w14:paraId="54DB4D9E">
            <w:pPr>
              <w:spacing w:line="240" w:lineRule="auto"/>
              <w:ind w:firstLine="0" w:firstLineChars="0"/>
              <w:jc w:val="center"/>
              <w:rPr>
                <w:bCs/>
                <w:sz w:val="21"/>
                <w:szCs w:val="21"/>
              </w:rPr>
            </w:pPr>
            <w:r>
              <w:rPr>
                <w:rFonts w:hint="eastAsia"/>
                <w:bCs/>
                <w:sz w:val="21"/>
                <w:szCs w:val="21"/>
              </w:rPr>
              <w:t>16-18</w:t>
            </w:r>
          </w:p>
        </w:tc>
        <w:tc>
          <w:tcPr>
            <w:tcW w:w="1701" w:type="dxa"/>
            <w:vAlign w:val="center"/>
          </w:tcPr>
          <w:p w14:paraId="7C3D93B8">
            <w:pPr>
              <w:spacing w:line="240" w:lineRule="auto"/>
              <w:ind w:firstLine="0" w:firstLineChars="0"/>
              <w:jc w:val="center"/>
              <w:rPr>
                <w:bCs/>
                <w:sz w:val="21"/>
                <w:szCs w:val="21"/>
              </w:rPr>
            </w:pPr>
            <w:r>
              <w:rPr>
                <w:rFonts w:hint="eastAsia"/>
                <w:bCs/>
                <w:sz w:val="21"/>
                <w:szCs w:val="21"/>
              </w:rPr>
              <w:t>19-21</w:t>
            </w:r>
          </w:p>
        </w:tc>
        <w:tc>
          <w:tcPr>
            <w:tcW w:w="1701" w:type="dxa"/>
            <w:vAlign w:val="center"/>
          </w:tcPr>
          <w:p w14:paraId="6158EB35">
            <w:pPr>
              <w:spacing w:line="240" w:lineRule="auto"/>
              <w:ind w:firstLine="0" w:firstLineChars="0"/>
              <w:jc w:val="center"/>
              <w:rPr>
                <w:bCs/>
                <w:sz w:val="21"/>
                <w:szCs w:val="21"/>
              </w:rPr>
            </w:pPr>
            <w:r>
              <w:rPr>
                <w:rFonts w:hint="eastAsia"/>
                <w:bCs/>
                <w:sz w:val="21"/>
                <w:szCs w:val="21"/>
              </w:rPr>
              <w:t>22-25</w:t>
            </w:r>
          </w:p>
        </w:tc>
        <w:tc>
          <w:tcPr>
            <w:tcW w:w="1586" w:type="dxa"/>
            <w:vAlign w:val="center"/>
          </w:tcPr>
          <w:p w14:paraId="2B4449B7">
            <w:pPr>
              <w:spacing w:line="240" w:lineRule="auto"/>
              <w:ind w:firstLine="0" w:firstLineChars="0"/>
              <w:jc w:val="center"/>
              <w:rPr>
                <w:bCs/>
                <w:sz w:val="21"/>
                <w:szCs w:val="21"/>
              </w:rPr>
            </w:pPr>
            <w:r>
              <w:rPr>
                <w:rFonts w:hint="eastAsia"/>
                <w:bCs/>
                <w:sz w:val="21"/>
                <w:szCs w:val="21"/>
              </w:rPr>
              <w:t>26-30</w:t>
            </w:r>
          </w:p>
        </w:tc>
      </w:tr>
      <w:tr w14:paraId="15FCEE4C">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4967DF94">
            <w:pPr>
              <w:spacing w:line="240" w:lineRule="auto"/>
              <w:ind w:firstLine="0" w:firstLineChars="0"/>
              <w:jc w:val="center"/>
              <w:rPr>
                <w:bCs/>
                <w:sz w:val="21"/>
                <w:szCs w:val="21"/>
              </w:rPr>
            </w:pPr>
            <w:r>
              <w:rPr>
                <w:rFonts w:hint="eastAsia"/>
                <w:bCs/>
                <w:sz w:val="21"/>
                <w:szCs w:val="21"/>
              </w:rPr>
              <w:t>土球直径（cm）</w:t>
            </w:r>
          </w:p>
        </w:tc>
        <w:tc>
          <w:tcPr>
            <w:tcW w:w="1701" w:type="dxa"/>
            <w:vAlign w:val="center"/>
          </w:tcPr>
          <w:p w14:paraId="30F903B6">
            <w:pPr>
              <w:spacing w:line="240" w:lineRule="auto"/>
              <w:ind w:firstLine="0" w:firstLineChars="0"/>
              <w:jc w:val="center"/>
              <w:rPr>
                <w:bCs/>
                <w:sz w:val="21"/>
                <w:szCs w:val="21"/>
              </w:rPr>
            </w:pPr>
            <w:r>
              <w:rPr>
                <w:rFonts w:hint="eastAsia"/>
                <w:bCs/>
                <w:sz w:val="21"/>
                <w:szCs w:val="21"/>
              </w:rPr>
              <w:t>100</w:t>
            </w:r>
          </w:p>
        </w:tc>
        <w:tc>
          <w:tcPr>
            <w:tcW w:w="1701" w:type="dxa"/>
            <w:vAlign w:val="center"/>
          </w:tcPr>
          <w:p w14:paraId="5C1039E1">
            <w:pPr>
              <w:spacing w:line="240" w:lineRule="auto"/>
              <w:ind w:firstLine="0" w:firstLineChars="0"/>
              <w:jc w:val="center"/>
              <w:rPr>
                <w:bCs/>
                <w:sz w:val="21"/>
                <w:szCs w:val="21"/>
              </w:rPr>
            </w:pPr>
            <w:r>
              <w:rPr>
                <w:rFonts w:hint="eastAsia"/>
                <w:bCs/>
                <w:sz w:val="21"/>
                <w:szCs w:val="21"/>
              </w:rPr>
              <w:t>110</w:t>
            </w:r>
          </w:p>
        </w:tc>
        <w:tc>
          <w:tcPr>
            <w:tcW w:w="1701" w:type="dxa"/>
            <w:vAlign w:val="center"/>
          </w:tcPr>
          <w:p w14:paraId="758941A1">
            <w:pPr>
              <w:spacing w:line="240" w:lineRule="auto"/>
              <w:ind w:firstLine="0" w:firstLineChars="0"/>
              <w:jc w:val="center"/>
              <w:rPr>
                <w:bCs/>
                <w:sz w:val="21"/>
                <w:szCs w:val="21"/>
              </w:rPr>
            </w:pPr>
            <w:r>
              <w:rPr>
                <w:rFonts w:hint="eastAsia"/>
                <w:bCs/>
                <w:sz w:val="21"/>
                <w:szCs w:val="21"/>
              </w:rPr>
              <w:t>120</w:t>
            </w:r>
          </w:p>
        </w:tc>
        <w:tc>
          <w:tcPr>
            <w:tcW w:w="1586" w:type="dxa"/>
            <w:vAlign w:val="center"/>
          </w:tcPr>
          <w:p w14:paraId="2DA7B5F9">
            <w:pPr>
              <w:spacing w:line="240" w:lineRule="auto"/>
              <w:ind w:firstLine="0" w:firstLineChars="0"/>
              <w:jc w:val="center"/>
              <w:rPr>
                <w:bCs/>
                <w:sz w:val="21"/>
                <w:szCs w:val="21"/>
              </w:rPr>
            </w:pPr>
            <w:r>
              <w:rPr>
                <w:rFonts w:hint="eastAsia"/>
                <w:bCs/>
                <w:sz w:val="21"/>
                <w:szCs w:val="21"/>
              </w:rPr>
              <w:t>140</w:t>
            </w:r>
          </w:p>
        </w:tc>
      </w:tr>
      <w:tr w14:paraId="5A6DC8D8">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234E8F1C">
            <w:pPr>
              <w:spacing w:line="240" w:lineRule="auto"/>
              <w:ind w:firstLine="0" w:firstLineChars="0"/>
              <w:jc w:val="center"/>
              <w:rPr>
                <w:bCs/>
                <w:sz w:val="21"/>
                <w:szCs w:val="21"/>
              </w:rPr>
            </w:pPr>
            <w:r>
              <w:rPr>
                <w:rFonts w:hint="eastAsia"/>
                <w:bCs/>
                <w:sz w:val="21"/>
                <w:szCs w:val="21"/>
              </w:rPr>
              <w:t>树穴规格直径×深度（cm）</w:t>
            </w:r>
          </w:p>
        </w:tc>
        <w:tc>
          <w:tcPr>
            <w:tcW w:w="1701" w:type="dxa"/>
            <w:vAlign w:val="center"/>
          </w:tcPr>
          <w:p w14:paraId="17D4F32D">
            <w:pPr>
              <w:spacing w:line="240" w:lineRule="auto"/>
              <w:ind w:firstLine="0" w:firstLineChars="0"/>
              <w:jc w:val="center"/>
              <w:rPr>
                <w:bCs/>
                <w:sz w:val="21"/>
                <w:szCs w:val="21"/>
              </w:rPr>
            </w:pPr>
            <w:r>
              <w:rPr>
                <w:rFonts w:hint="eastAsia"/>
                <w:bCs/>
                <w:sz w:val="21"/>
                <w:szCs w:val="21"/>
              </w:rPr>
              <w:t>130×110</w:t>
            </w:r>
          </w:p>
        </w:tc>
        <w:tc>
          <w:tcPr>
            <w:tcW w:w="1701" w:type="dxa"/>
            <w:vAlign w:val="center"/>
          </w:tcPr>
          <w:p w14:paraId="5F81BC32">
            <w:pPr>
              <w:spacing w:line="240" w:lineRule="auto"/>
              <w:ind w:firstLine="0" w:firstLineChars="0"/>
              <w:jc w:val="center"/>
              <w:rPr>
                <w:bCs/>
                <w:sz w:val="21"/>
                <w:szCs w:val="21"/>
              </w:rPr>
            </w:pPr>
            <w:r>
              <w:rPr>
                <w:rFonts w:hint="eastAsia"/>
                <w:bCs/>
                <w:sz w:val="21"/>
                <w:szCs w:val="21"/>
              </w:rPr>
              <w:t>140×120</w:t>
            </w:r>
          </w:p>
        </w:tc>
        <w:tc>
          <w:tcPr>
            <w:tcW w:w="1701" w:type="dxa"/>
            <w:vAlign w:val="center"/>
          </w:tcPr>
          <w:p w14:paraId="0F1DA282">
            <w:pPr>
              <w:spacing w:line="240" w:lineRule="auto"/>
              <w:ind w:firstLine="0" w:firstLineChars="0"/>
              <w:jc w:val="center"/>
              <w:rPr>
                <w:bCs/>
                <w:sz w:val="21"/>
                <w:szCs w:val="21"/>
              </w:rPr>
            </w:pPr>
            <w:r>
              <w:rPr>
                <w:rFonts w:hint="eastAsia"/>
                <w:bCs/>
                <w:sz w:val="21"/>
                <w:szCs w:val="21"/>
              </w:rPr>
              <w:t>150×130</w:t>
            </w:r>
          </w:p>
        </w:tc>
        <w:tc>
          <w:tcPr>
            <w:tcW w:w="1586" w:type="dxa"/>
            <w:vAlign w:val="center"/>
          </w:tcPr>
          <w:p w14:paraId="7EF00E9E">
            <w:pPr>
              <w:spacing w:line="240" w:lineRule="auto"/>
              <w:ind w:firstLine="0" w:firstLineChars="0"/>
              <w:jc w:val="center"/>
              <w:rPr>
                <w:bCs/>
                <w:sz w:val="21"/>
                <w:szCs w:val="21"/>
              </w:rPr>
            </w:pPr>
            <w:r>
              <w:rPr>
                <w:rFonts w:hint="eastAsia"/>
                <w:bCs/>
                <w:sz w:val="21"/>
                <w:szCs w:val="21"/>
              </w:rPr>
              <w:t>160×140</w:t>
            </w:r>
          </w:p>
        </w:tc>
      </w:tr>
      <w:tr w14:paraId="64D379E4">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40BEF3A4">
            <w:pPr>
              <w:spacing w:line="240" w:lineRule="auto"/>
              <w:ind w:firstLine="0" w:firstLineChars="0"/>
              <w:jc w:val="center"/>
              <w:rPr>
                <w:bCs/>
                <w:sz w:val="21"/>
                <w:szCs w:val="21"/>
              </w:rPr>
            </w:pPr>
            <w:r>
              <w:rPr>
                <w:rFonts w:hint="eastAsia"/>
                <w:bCs/>
                <w:sz w:val="21"/>
                <w:szCs w:val="21"/>
              </w:rPr>
              <w:t>乔木胸径（cm）</w:t>
            </w:r>
          </w:p>
        </w:tc>
        <w:tc>
          <w:tcPr>
            <w:tcW w:w="1701" w:type="dxa"/>
            <w:vAlign w:val="center"/>
          </w:tcPr>
          <w:p w14:paraId="7895A700">
            <w:pPr>
              <w:spacing w:line="240" w:lineRule="auto"/>
              <w:ind w:firstLine="0" w:firstLineChars="0"/>
              <w:jc w:val="center"/>
              <w:rPr>
                <w:bCs/>
                <w:sz w:val="21"/>
                <w:szCs w:val="21"/>
              </w:rPr>
            </w:pPr>
            <w:r>
              <w:rPr>
                <w:rFonts w:hint="eastAsia"/>
                <w:bCs/>
                <w:sz w:val="21"/>
                <w:szCs w:val="21"/>
              </w:rPr>
              <w:t>31-35</w:t>
            </w:r>
          </w:p>
        </w:tc>
        <w:tc>
          <w:tcPr>
            <w:tcW w:w="1701" w:type="dxa"/>
            <w:vAlign w:val="center"/>
          </w:tcPr>
          <w:p w14:paraId="2034B5B2">
            <w:pPr>
              <w:spacing w:line="240" w:lineRule="auto"/>
              <w:ind w:firstLine="0" w:firstLineChars="0"/>
              <w:jc w:val="center"/>
              <w:rPr>
                <w:bCs/>
                <w:sz w:val="21"/>
                <w:szCs w:val="21"/>
              </w:rPr>
            </w:pPr>
            <w:r>
              <w:rPr>
                <w:rFonts w:hint="eastAsia"/>
                <w:bCs/>
                <w:sz w:val="21"/>
                <w:szCs w:val="21"/>
              </w:rPr>
              <w:t>36-40</w:t>
            </w:r>
          </w:p>
        </w:tc>
        <w:tc>
          <w:tcPr>
            <w:tcW w:w="1701" w:type="dxa"/>
            <w:vAlign w:val="center"/>
          </w:tcPr>
          <w:p w14:paraId="212B2989">
            <w:pPr>
              <w:spacing w:line="240" w:lineRule="auto"/>
              <w:ind w:firstLine="0" w:firstLineChars="0"/>
              <w:jc w:val="center"/>
              <w:rPr>
                <w:bCs/>
                <w:sz w:val="21"/>
                <w:szCs w:val="21"/>
              </w:rPr>
            </w:pPr>
            <w:r>
              <w:rPr>
                <w:rFonts w:hint="eastAsia"/>
                <w:bCs/>
                <w:sz w:val="21"/>
                <w:szCs w:val="21"/>
              </w:rPr>
              <w:t>41-50</w:t>
            </w:r>
          </w:p>
        </w:tc>
        <w:tc>
          <w:tcPr>
            <w:tcW w:w="1586" w:type="dxa"/>
            <w:vAlign w:val="center"/>
          </w:tcPr>
          <w:p w14:paraId="0FE52545">
            <w:pPr>
              <w:spacing w:line="240" w:lineRule="auto"/>
              <w:ind w:firstLine="0" w:firstLineChars="0"/>
              <w:jc w:val="center"/>
              <w:rPr>
                <w:bCs/>
                <w:sz w:val="21"/>
                <w:szCs w:val="21"/>
              </w:rPr>
            </w:pPr>
          </w:p>
        </w:tc>
      </w:tr>
      <w:tr w14:paraId="3849856C">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1FF81804">
            <w:pPr>
              <w:spacing w:line="240" w:lineRule="auto"/>
              <w:ind w:firstLine="0" w:firstLineChars="0"/>
              <w:jc w:val="center"/>
              <w:rPr>
                <w:bCs/>
                <w:sz w:val="21"/>
                <w:szCs w:val="21"/>
              </w:rPr>
            </w:pPr>
            <w:r>
              <w:rPr>
                <w:rFonts w:hint="eastAsia"/>
                <w:bCs/>
                <w:sz w:val="21"/>
                <w:szCs w:val="21"/>
              </w:rPr>
              <w:t>土球直径（cm）</w:t>
            </w:r>
          </w:p>
        </w:tc>
        <w:tc>
          <w:tcPr>
            <w:tcW w:w="1701" w:type="dxa"/>
            <w:vAlign w:val="center"/>
          </w:tcPr>
          <w:p w14:paraId="0BBE126B">
            <w:pPr>
              <w:spacing w:line="240" w:lineRule="auto"/>
              <w:ind w:firstLine="0" w:firstLineChars="0"/>
              <w:jc w:val="center"/>
              <w:rPr>
                <w:bCs/>
                <w:sz w:val="21"/>
                <w:szCs w:val="21"/>
              </w:rPr>
            </w:pPr>
            <w:r>
              <w:rPr>
                <w:rFonts w:hint="eastAsia"/>
                <w:bCs/>
                <w:sz w:val="21"/>
                <w:szCs w:val="21"/>
              </w:rPr>
              <w:t>160</w:t>
            </w:r>
          </w:p>
        </w:tc>
        <w:tc>
          <w:tcPr>
            <w:tcW w:w="1701" w:type="dxa"/>
            <w:vAlign w:val="center"/>
          </w:tcPr>
          <w:p w14:paraId="15D558DB">
            <w:pPr>
              <w:spacing w:line="240" w:lineRule="auto"/>
              <w:ind w:firstLine="0" w:firstLineChars="0"/>
              <w:jc w:val="center"/>
              <w:rPr>
                <w:bCs/>
                <w:sz w:val="21"/>
                <w:szCs w:val="21"/>
              </w:rPr>
            </w:pPr>
            <w:r>
              <w:rPr>
                <w:rFonts w:hint="eastAsia"/>
                <w:bCs/>
                <w:sz w:val="21"/>
                <w:szCs w:val="21"/>
              </w:rPr>
              <w:t>180</w:t>
            </w:r>
          </w:p>
        </w:tc>
        <w:tc>
          <w:tcPr>
            <w:tcW w:w="1701" w:type="dxa"/>
            <w:vAlign w:val="center"/>
          </w:tcPr>
          <w:p w14:paraId="34BE9610">
            <w:pPr>
              <w:spacing w:line="240" w:lineRule="auto"/>
              <w:ind w:firstLine="0" w:firstLineChars="0"/>
              <w:jc w:val="center"/>
              <w:rPr>
                <w:bCs/>
                <w:sz w:val="21"/>
                <w:szCs w:val="21"/>
              </w:rPr>
            </w:pPr>
            <w:r>
              <w:rPr>
                <w:rFonts w:hint="eastAsia"/>
                <w:bCs/>
                <w:sz w:val="21"/>
                <w:szCs w:val="21"/>
              </w:rPr>
              <w:t>200</w:t>
            </w:r>
          </w:p>
        </w:tc>
        <w:tc>
          <w:tcPr>
            <w:tcW w:w="1586" w:type="dxa"/>
            <w:vAlign w:val="center"/>
          </w:tcPr>
          <w:p w14:paraId="0E8FA8C0">
            <w:pPr>
              <w:spacing w:line="240" w:lineRule="auto"/>
              <w:ind w:firstLine="0" w:firstLineChars="0"/>
              <w:jc w:val="center"/>
              <w:rPr>
                <w:bCs/>
                <w:sz w:val="21"/>
                <w:szCs w:val="21"/>
              </w:rPr>
            </w:pPr>
          </w:p>
        </w:tc>
      </w:tr>
      <w:tr w14:paraId="1D3E89A8">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226" w:type="dxa"/>
            <w:vAlign w:val="center"/>
          </w:tcPr>
          <w:p w14:paraId="7790587F">
            <w:pPr>
              <w:spacing w:line="240" w:lineRule="auto"/>
              <w:ind w:firstLine="0" w:firstLineChars="0"/>
              <w:jc w:val="center"/>
              <w:rPr>
                <w:bCs/>
                <w:sz w:val="21"/>
                <w:szCs w:val="21"/>
              </w:rPr>
            </w:pPr>
            <w:r>
              <w:rPr>
                <w:rFonts w:hint="eastAsia"/>
                <w:bCs/>
                <w:sz w:val="21"/>
                <w:szCs w:val="21"/>
              </w:rPr>
              <w:t>树穴规格直径×深度（cm）</w:t>
            </w:r>
          </w:p>
        </w:tc>
        <w:tc>
          <w:tcPr>
            <w:tcW w:w="1701" w:type="dxa"/>
            <w:vAlign w:val="center"/>
          </w:tcPr>
          <w:p w14:paraId="779FFF49">
            <w:pPr>
              <w:spacing w:line="240" w:lineRule="auto"/>
              <w:ind w:firstLine="0" w:firstLineChars="0"/>
              <w:jc w:val="center"/>
              <w:rPr>
                <w:bCs/>
                <w:sz w:val="21"/>
                <w:szCs w:val="21"/>
              </w:rPr>
            </w:pPr>
            <w:r>
              <w:rPr>
                <w:rFonts w:hint="eastAsia"/>
                <w:bCs/>
                <w:sz w:val="21"/>
                <w:szCs w:val="21"/>
              </w:rPr>
              <w:t>200×170</w:t>
            </w:r>
          </w:p>
        </w:tc>
        <w:tc>
          <w:tcPr>
            <w:tcW w:w="1701" w:type="dxa"/>
            <w:vAlign w:val="center"/>
          </w:tcPr>
          <w:p w14:paraId="50119D2A">
            <w:pPr>
              <w:spacing w:line="240" w:lineRule="auto"/>
              <w:ind w:firstLine="0" w:firstLineChars="0"/>
              <w:jc w:val="center"/>
              <w:rPr>
                <w:bCs/>
                <w:sz w:val="21"/>
                <w:szCs w:val="21"/>
              </w:rPr>
            </w:pPr>
            <w:r>
              <w:rPr>
                <w:rFonts w:hint="eastAsia"/>
                <w:bCs/>
                <w:sz w:val="21"/>
                <w:szCs w:val="21"/>
              </w:rPr>
              <w:t>220×190</w:t>
            </w:r>
          </w:p>
        </w:tc>
        <w:tc>
          <w:tcPr>
            <w:tcW w:w="1701" w:type="dxa"/>
            <w:vAlign w:val="center"/>
          </w:tcPr>
          <w:p w14:paraId="4EC721A8">
            <w:pPr>
              <w:spacing w:line="240" w:lineRule="auto"/>
              <w:ind w:firstLine="0" w:firstLineChars="0"/>
              <w:jc w:val="center"/>
              <w:rPr>
                <w:bCs/>
                <w:sz w:val="21"/>
                <w:szCs w:val="21"/>
              </w:rPr>
            </w:pPr>
            <w:r>
              <w:rPr>
                <w:rFonts w:hint="eastAsia"/>
                <w:bCs/>
                <w:sz w:val="21"/>
                <w:szCs w:val="21"/>
              </w:rPr>
              <w:t>240×210</w:t>
            </w:r>
          </w:p>
        </w:tc>
        <w:tc>
          <w:tcPr>
            <w:tcW w:w="1586" w:type="dxa"/>
            <w:vAlign w:val="center"/>
          </w:tcPr>
          <w:p w14:paraId="48631C39">
            <w:pPr>
              <w:spacing w:line="240" w:lineRule="auto"/>
              <w:ind w:firstLine="0" w:firstLineChars="0"/>
              <w:jc w:val="center"/>
              <w:rPr>
                <w:bCs/>
                <w:sz w:val="21"/>
                <w:szCs w:val="21"/>
              </w:rPr>
            </w:pPr>
          </w:p>
        </w:tc>
      </w:tr>
    </w:tbl>
    <w:p w14:paraId="0333A86F">
      <w:pPr>
        <w:ind w:firstLine="480"/>
      </w:pPr>
      <w:r>
        <w:rPr>
          <w:rFonts w:hint="eastAsia"/>
        </w:rPr>
        <w:t>（2）土坨形状要求：</w:t>
      </w:r>
    </w:p>
    <w:p w14:paraId="6FD158DA">
      <w:pPr>
        <w:ind w:firstLine="480"/>
      </w:pPr>
      <w:r>
        <w:rPr>
          <w:rFonts w:hint="eastAsia"/>
        </w:rPr>
        <w:t>土坨：指苗木移栽过程中为保证成活和迅速复壮，而在原栽植地围绕苗木根系取的土球。确定土坨直径的方法（起坨）如下：</w:t>
      </w:r>
    </w:p>
    <w:p w14:paraId="4D4A9BAF">
      <w:pPr>
        <w:ind w:firstLine="480"/>
      </w:pPr>
      <w:r>
        <w:rPr>
          <w:rFonts w:hint="eastAsia"/>
        </w:rPr>
        <w:drawing>
          <wp:anchor distT="0" distB="0" distL="114300" distR="114300" simplePos="0" relativeHeight="251659264" behindDoc="0" locked="0" layoutInCell="1" allowOverlap="1">
            <wp:simplePos x="0" y="0"/>
            <wp:positionH relativeFrom="column">
              <wp:posOffset>-58420</wp:posOffset>
            </wp:positionH>
            <wp:positionV relativeFrom="paragraph">
              <wp:posOffset>5715</wp:posOffset>
            </wp:positionV>
            <wp:extent cx="6264275" cy="888365"/>
            <wp:effectExtent l="0" t="0" r="3175" b="6985"/>
            <wp:wrapTopAndBottom/>
            <wp:docPr id="75" name="图片 75" descr="QQ截图2014103016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QQ截图20141030162905"/>
                    <pic:cNvPicPr>
                      <a:picLocks noChangeAspect="1" noChangeArrowheads="1"/>
                    </pic:cNvPicPr>
                  </pic:nvPicPr>
                  <pic:blipFill>
                    <a:blip r:embed="rId23">
                      <a:extLst>
                        <a:ext uri="{28A0092B-C50C-407E-A947-70E740481C1C}">
                          <a14:useLocalDpi xmlns:a14="http://schemas.microsoft.com/office/drawing/2010/main" val="0"/>
                        </a:ext>
                      </a:extLst>
                    </a:blip>
                    <a:srcRect b="21176"/>
                    <a:stretch>
                      <a:fillRect/>
                    </a:stretch>
                  </pic:blipFill>
                  <pic:spPr>
                    <a:xfrm>
                      <a:off x="0" y="0"/>
                      <a:ext cx="6264275" cy="888365"/>
                    </a:xfrm>
                    <a:prstGeom prst="rect">
                      <a:avLst/>
                    </a:prstGeom>
                    <a:noFill/>
                  </pic:spPr>
                </pic:pic>
              </a:graphicData>
            </a:graphic>
          </wp:anchor>
        </w:drawing>
      </w:r>
    </w:p>
    <w:p w14:paraId="42435620">
      <w:pPr>
        <w:ind w:firstLine="480"/>
      </w:pPr>
      <w:r>
        <w:rPr>
          <w:rFonts w:hint="eastAsia"/>
        </w:rPr>
        <w:t>土坨的大小应根据上图和苗木具体生长状况及种植季节而定，若市场上有容器苗或假植苗，我司要求尽量采用容器苗或假植苗。</w:t>
      </w:r>
    </w:p>
    <w:p w14:paraId="2C4BE364">
      <w:pPr>
        <w:pStyle w:val="5"/>
        <w:ind w:firstLine="482"/>
      </w:pPr>
      <w:r>
        <w:rPr>
          <w:rFonts w:hint="eastAsia"/>
        </w:rPr>
        <w:t>种植要求</w:t>
      </w:r>
    </w:p>
    <w:p w14:paraId="765F3E07">
      <w:pPr>
        <w:ind w:firstLine="480"/>
      </w:pPr>
      <w:r>
        <w:rPr>
          <w:rFonts w:hint="eastAsia"/>
        </w:rPr>
        <w:t>（1）基肥</w:t>
      </w:r>
    </w:p>
    <w:p w14:paraId="3EDB966B">
      <w:pPr>
        <w:ind w:firstLine="480"/>
      </w:pPr>
      <w:r>
        <w:rPr>
          <w:rFonts w:hint="eastAsia"/>
        </w:rPr>
        <w:t>要求施工种植前必须依实施足基肥，弥补绿地瘦瘠对植物生长的不良影响，以使绿化尽快见效。必须根据园林施工要求确定基肥。建议依实选用以下基肥施用，施工前须经监理认可：</w:t>
      </w:r>
    </w:p>
    <w:p w14:paraId="092654BA">
      <w:pPr>
        <w:ind w:firstLine="480"/>
      </w:pPr>
      <w:r>
        <w:rPr>
          <w:rFonts w:hint="eastAsia"/>
        </w:rPr>
        <w:t>1）垃圾堆烧肥：利用垃圾焚烧场产生的垃圾堆烧肥过筛，且充分沤熟后施用。</w:t>
      </w:r>
    </w:p>
    <w:p w14:paraId="1E8D0C7C">
      <w:pPr>
        <w:ind w:firstLine="480"/>
      </w:pPr>
      <w:r>
        <w:rPr>
          <w:rFonts w:hint="eastAsia"/>
        </w:rPr>
        <w:t>2）堆沤蘑菇肥按充分沤熟肥，半干状计量。基肥用量结合各工程量表中的苗木规格确定，要求与土拌匀施用。使用其余各种基肥时可参照下列定量执行：设计以沤熟蘑菇肥做基肥用量，草地每平方米10kg；花木（花坛）每平方米20kg；绿篱单行每米5kg；1米以下灌木（土球10~30cm直径）每株8kg；1米以上（土球40cm以上）10kg；乔木土球50-60的为20kg-25kg；70-80的为30kg-40kg；90-100的为45kg-50kg。</w:t>
      </w:r>
    </w:p>
    <w:p w14:paraId="2424AB45">
      <w:pPr>
        <w:ind w:firstLine="480"/>
      </w:pPr>
      <w:r>
        <w:rPr>
          <w:rFonts w:hint="eastAsia"/>
        </w:rPr>
        <w:t>（2）种植树穴的要求</w:t>
      </w:r>
    </w:p>
    <w:p w14:paraId="2DCB2EB7">
      <w:pPr>
        <w:ind w:firstLine="480"/>
      </w:pPr>
      <w:r>
        <w:rPr>
          <w:rFonts w:hint="eastAsia"/>
        </w:rPr>
        <w:t>1）在栽苗木前应以所定的灰点为中心沿四周向下挖穴，种植穴所大小依土球规格即根系情况所定（详见附表）。</w:t>
      </w:r>
    </w:p>
    <w:p w14:paraId="66CBE23E">
      <w:pPr>
        <w:ind w:firstLine="480"/>
      </w:pPr>
      <w:r>
        <w:rPr>
          <w:rFonts w:hint="eastAsia"/>
        </w:rPr>
        <w:t>2）基肥使用堆肥或饼肥，基肥上面覆盖一层10cm厚干净土，避免树根直接接触肥料，造成烧根。</w:t>
      </w:r>
    </w:p>
    <w:p w14:paraId="36B35478">
      <w:pPr>
        <w:ind w:firstLine="480"/>
      </w:pPr>
      <w:r>
        <w:rPr>
          <w:rFonts w:hint="eastAsia"/>
        </w:rPr>
        <w:t>3）其它基肥或有机肥，必须经监理单位同意后施用，用量依实而定</w:t>
      </w:r>
    </w:p>
    <w:p w14:paraId="18BC414F">
      <w:pPr>
        <w:ind w:firstLine="480"/>
      </w:pPr>
      <w:r>
        <w:rPr>
          <w:rFonts w:hint="eastAsia"/>
        </w:rPr>
        <w:t>（3）花树木种植</w:t>
      </w:r>
    </w:p>
    <w:p w14:paraId="092232A5">
      <w:pPr>
        <w:ind w:firstLine="480"/>
      </w:pPr>
      <w:r>
        <w:rPr>
          <w:rFonts w:hint="eastAsia"/>
        </w:rPr>
        <w:t>按园林绿化常规方法施工，要求基肥应与碎土充分混匀；成列乔木应成一直线，并按种植苗木的自然高依次排列；自然点植的花草树木应自然种植，高低错落有致。种植花树木的种植土应击碎分层捣实，使根系与土充分接触，最后用木棍插实起土圈，淋足定根水，扶固树木。大乔木移植应注意新种植树木的东西南北朝向最好能与原苗木培植点的朝向相同，并讲究大乔木移植的其它方法，以保证大苗移植成活率。苗木放入坑内须苗根舒展，分次填土，分层踩，并注意提苗，避免塞根，填土要略高于原地面，防止积水。</w:t>
      </w:r>
    </w:p>
    <w:p w14:paraId="7FFD873B">
      <w:pPr>
        <w:ind w:firstLine="480"/>
      </w:pPr>
      <w:r>
        <w:rPr>
          <w:rFonts w:hint="eastAsia"/>
        </w:rPr>
        <w:t>1）种植乔木时，应根据人的最佳观赏点及乔木本身的阴阳面来调整乔木的种植面，将乔木的最佳观赏面正对人的最佳观赏点，同时尽量使乔木种植后的阴阳面与乔木本身的阴阳面保持吻合，以利用植物尽快恢复生长。</w:t>
      </w:r>
    </w:p>
    <w:p w14:paraId="3C39D17A">
      <w:pPr>
        <w:ind w:firstLine="480"/>
      </w:pPr>
      <w:r>
        <w:rPr>
          <w:rFonts w:hint="eastAsia"/>
        </w:rPr>
        <w:t>注：择干旱少雨地区，应给植物保留一个低于草坪3cm左右的蓄水圈，以利于植物吸收水分。</w:t>
      </w:r>
    </w:p>
    <w:p w14:paraId="112616A8">
      <w:pPr>
        <w:ind w:firstLine="480"/>
      </w:pPr>
      <w:r>
        <w:t>2</w:t>
      </w:r>
      <w:r>
        <w:rPr>
          <w:rFonts w:hint="eastAsia"/>
        </w:rPr>
        <w:t>）草皮设计种植的绿地地面土质必须符合土质要求，清净杂物，平整至所需坡度均匀撒施基肥，与土拌匀，然后将块状草皮连续铺种，草块间缝小于</w:t>
      </w:r>
      <w:r>
        <w:t>2cm</w:t>
      </w:r>
      <w:r>
        <w:rPr>
          <w:rFonts w:hint="eastAsia"/>
        </w:rPr>
        <w:t>，之后浇足水，待半干后打实，使草与土壤充分接触。隔天连续拍打三次以上，使草地拍实平整。</w:t>
      </w:r>
    </w:p>
    <w:p w14:paraId="7D3FDCA1">
      <w:pPr>
        <w:ind w:firstLine="480"/>
      </w:pPr>
      <w:r>
        <w:t>3</w:t>
      </w:r>
      <w:r>
        <w:rPr>
          <w:rFonts w:hint="eastAsia"/>
        </w:rPr>
        <w:t>）所有垂直绿化植物应选择有</w:t>
      </w:r>
      <w:r>
        <w:t>3-4</w:t>
      </w:r>
      <w:r>
        <w:rPr>
          <w:rFonts w:hint="eastAsia"/>
        </w:rPr>
        <w:t>主分枝，枝叶丰满，可塑性强的植株，植时应牵引固定。</w:t>
      </w:r>
    </w:p>
    <w:p w14:paraId="16001622">
      <w:pPr>
        <w:ind w:firstLine="480"/>
      </w:pPr>
      <w:r>
        <w:t>4</w:t>
      </w:r>
      <w:r>
        <w:rPr>
          <w:rFonts w:hint="eastAsia"/>
        </w:rPr>
        <w:t>）其它草本植物按常规种植方法种植，要求种植后修整冠型，体现设计效果；种植土深度应依所种品种确定挖深深度，并混入基肥种植。</w:t>
      </w:r>
    </w:p>
    <w:p w14:paraId="1C5DE3C1">
      <w:pPr>
        <w:ind w:firstLine="480"/>
      </w:pPr>
      <w:r>
        <w:t>5</w:t>
      </w:r>
      <w:r>
        <w:rPr>
          <w:rFonts w:hint="eastAsia"/>
        </w:rPr>
        <w:t>）为保证施工能充分体现植物造景，要求施工种植时应有的放矢，依设计认真配植；应利于突出其最佳树姿；对孤植树，对自然丛植树，应高低搭配有致，反映树丛的自然生长景观；对林植树，应注意不同种间的共生共荣，体现密林景致；对密植花木，应小心冠冠之间的连接、错落和裸土的覆盖，显示群植的最佳绿化效果。</w:t>
      </w:r>
    </w:p>
    <w:p w14:paraId="58F72EF1">
      <w:pPr>
        <w:ind w:firstLine="480"/>
      </w:pPr>
      <w:r>
        <w:rPr>
          <w:rFonts w:hint="eastAsia"/>
        </w:rPr>
        <w:t>（4）树木支撑</w:t>
      </w:r>
    </w:p>
    <w:p w14:paraId="1DD0A680">
      <w:pPr>
        <w:ind w:firstLine="480"/>
      </w:pPr>
      <w:r>
        <w:rPr>
          <w:rFonts w:hint="eastAsia"/>
        </w:rPr>
        <w:t>为了使种植好的苗木不因土壤的沉降或风力的影响而发生倾斜，我们需对刚完成种植尚未浇定根水的苗木进行支撑处理，不同类型的苗木可采用不同的支撑手法，如下图：</w:t>
      </w:r>
    </w:p>
    <w:p w14:paraId="689032E5">
      <w:pPr>
        <w:ind w:firstLine="480"/>
        <w:jc w:val="center"/>
      </w:pPr>
      <w:r>
        <w:drawing>
          <wp:inline distT="0" distB="0" distL="0" distR="0">
            <wp:extent cx="5639435" cy="2871470"/>
            <wp:effectExtent l="0" t="0" r="0" b="508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639435" cy="2871470"/>
                    </a:xfrm>
                    <a:prstGeom prst="rect">
                      <a:avLst/>
                    </a:prstGeom>
                    <a:noFill/>
                  </pic:spPr>
                </pic:pic>
              </a:graphicData>
            </a:graphic>
          </wp:inline>
        </w:drawing>
      </w:r>
    </w:p>
    <w:p w14:paraId="7EFD7672">
      <w:pPr>
        <w:ind w:firstLine="480"/>
      </w:pPr>
      <w:r>
        <w:rPr>
          <w:rFonts w:hint="eastAsia"/>
        </w:rPr>
        <w:t>（5）修剪整形</w:t>
      </w:r>
    </w:p>
    <w:p w14:paraId="5CB5EBE6">
      <w:pPr>
        <w:ind w:firstLine="480"/>
      </w:pPr>
      <w:r>
        <w:rPr>
          <w:rFonts w:hint="eastAsia"/>
        </w:rPr>
        <w:t>花草树木种植时，因种植前修剪主要是为运输和减少水分损失等而进行的，种植后，应考虑植物造景以及植物基本形态重新进行修剪造型，去掉阴枝、病残枝等，并对剪口作处理。使花草树木种植后的初始冠型既能体现初期效果，又有利于将来形成优美冠形，达到设计目的和最终效果。</w:t>
      </w:r>
    </w:p>
    <w:p w14:paraId="4A27B364">
      <w:pPr>
        <w:ind w:firstLine="480"/>
      </w:pPr>
      <w:r>
        <w:rPr>
          <w:rFonts w:hint="eastAsia"/>
        </w:rPr>
        <w:t>（6）绿地排水、</w:t>
      </w:r>
      <w:bookmarkStart w:id="19" w:name="_Hlk45618345"/>
      <w:r>
        <w:rPr>
          <w:rFonts w:hint="eastAsia"/>
        </w:rPr>
        <w:t>给水</w:t>
      </w:r>
      <w:bookmarkEnd w:id="19"/>
    </w:p>
    <w:p w14:paraId="7019DF30">
      <w:pPr>
        <w:ind w:firstLine="480"/>
      </w:pPr>
      <w:r>
        <w:rPr>
          <w:rFonts w:hint="eastAsia"/>
        </w:rPr>
        <w:t>1）未标明之绿地排水均采用自然渗水的排水方式。</w:t>
      </w:r>
    </w:p>
    <w:p w14:paraId="2B9428CD">
      <w:pPr>
        <w:ind w:firstLine="480"/>
      </w:pPr>
      <w:r>
        <w:rPr>
          <w:rFonts w:hint="eastAsia"/>
        </w:rPr>
        <w:t>2）绿化给水采用自动喷淋为主，人工灌溉为辅相结合的方式。</w:t>
      </w:r>
    </w:p>
    <w:p w14:paraId="6DEE1DC2">
      <w:pPr>
        <w:pStyle w:val="5"/>
        <w:ind w:firstLine="482"/>
      </w:pPr>
      <w:r>
        <w:rPr>
          <w:rFonts w:hint="eastAsia"/>
        </w:rPr>
        <w:t>六</w:t>
      </w:r>
      <w:r>
        <w:t>.</w:t>
      </w:r>
      <w:r>
        <w:rPr>
          <w:rFonts w:hint="eastAsia"/>
        </w:rPr>
        <w:t>绿化养护</w:t>
      </w:r>
    </w:p>
    <w:p w14:paraId="62F87AC9">
      <w:pPr>
        <w:ind w:firstLine="480"/>
      </w:pPr>
      <w:r>
        <w:rPr>
          <w:rFonts w:hint="eastAsia"/>
        </w:rPr>
        <w:t>根据广东省常规要求，绿化养护管理时间为12个月，其中第1~3月成活保养结束后，第4~12个月的保养称为保存保养。养护期内，应及时更新受损苗木等，并能按设计意图，按植物生态特性：喜阳、喜阴、耐旱、耐湿等分别养护，且据植物生长不同阶段及时调整，保持丰富的层次和群落结构。在养护期内负责清杂物、 浇水保持土壤湿润、追肥、修剪整形、抹不定芽、防风、防治病虫害（应选用无公害农药）、除杂草、排渍除涝等，其中：</w:t>
      </w:r>
    </w:p>
    <w:p w14:paraId="718B4CA7">
      <w:pPr>
        <w:ind w:firstLine="480"/>
      </w:pPr>
      <w:r>
        <w:rPr>
          <w:rFonts w:hint="eastAsia"/>
        </w:rPr>
        <w:t>追肥：主要追施氮肥和复合肥。草地追肥多为氮肥，在养护12个月内，按面积计算约每月每平方米50克（分2-3次）尿素做追肥，可撒施或水施；花木和乔灌木最好施用复合肥，花木每平方米每月100克（分2-3次）左右，灌木每株每月25克左右，乔木每月每株150克左右。施工时的具体用量可由施工方案依实确定。</w:t>
      </w:r>
    </w:p>
    <w:p w14:paraId="0808A87E">
      <w:pPr>
        <w:ind w:firstLine="480"/>
      </w:pPr>
      <w:r>
        <w:rPr>
          <w:rFonts w:hint="eastAsia"/>
        </w:rPr>
        <w:t>抹不定芽及保主枝：对路树，如为截干乔木，成活后萌芽很不规则，这时应该在设计枝下高以下将全部不定芽抹掉，在枝下高以上选3-5个生长健壮、长势良好、有利于形成均匀冠幅的新芽保留，将其余的抹掉。其余乔灌木依造景需要去新芽，以利于形成优美树型为准。</w:t>
      </w:r>
    </w:p>
    <w:p w14:paraId="4F34AD22">
      <w:pPr>
        <w:pStyle w:val="5"/>
        <w:ind w:firstLine="482"/>
      </w:pPr>
      <w:r>
        <w:rPr>
          <w:rFonts w:hint="eastAsia"/>
        </w:rPr>
        <w:t>其它</w:t>
      </w:r>
    </w:p>
    <w:p w14:paraId="32E2D682">
      <w:pPr>
        <w:ind w:firstLine="480"/>
      </w:pPr>
      <w:r>
        <w:rPr>
          <w:rFonts w:hint="eastAsia"/>
        </w:rPr>
        <w:t>未尽事项按国家、地方有关规范、规程执行。</w:t>
      </w:r>
    </w:p>
    <w:p w14:paraId="434BF4F2">
      <w:pPr>
        <w:pStyle w:val="5"/>
        <w:ind w:firstLine="482"/>
      </w:pPr>
      <w:r>
        <w:rPr>
          <w:rFonts w:hint="eastAsia"/>
        </w:rPr>
        <w:t>附表</w:t>
      </w:r>
    </w:p>
    <w:p w14:paraId="5400B8D6">
      <w:pPr>
        <w:ind w:firstLine="480"/>
      </w:pPr>
      <w:r>
        <w:rPr>
          <w:rFonts w:hint="eastAsia"/>
        </w:rPr>
        <w:t>附表：树木与其它设施、地下管线外缘最小水平距离要求</w:t>
      </w:r>
    </w:p>
    <w:p w14:paraId="3ABFCA2D">
      <w:pPr>
        <w:ind w:firstLine="0" w:firstLineChars="0"/>
        <w:jc w:val="center"/>
        <w:rPr>
          <w:b/>
          <w:bCs/>
        </w:rPr>
      </w:pPr>
      <w:r>
        <w:rPr>
          <w:rFonts w:hint="eastAsia"/>
          <w:b/>
          <w:bCs/>
        </w:rPr>
        <w:t>树木与其它设施最小水平距离</w:t>
      </w:r>
    </w:p>
    <w:tbl>
      <w:tblPr>
        <w:tblStyle w:val="17"/>
        <w:tblW w:w="9775" w:type="dxa"/>
        <w:tblInd w:w="0" w:type="dxa"/>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3249"/>
        <w:gridCol w:w="3263"/>
        <w:gridCol w:w="3263"/>
      </w:tblGrid>
      <w:tr w14:paraId="3AFDF6D1">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6ABBF16B">
            <w:pPr>
              <w:spacing w:line="240" w:lineRule="auto"/>
              <w:ind w:firstLine="0" w:firstLineChars="0"/>
              <w:jc w:val="center"/>
              <w:rPr>
                <w:bCs/>
                <w:sz w:val="21"/>
                <w:szCs w:val="21"/>
              </w:rPr>
            </w:pPr>
            <w:r>
              <w:rPr>
                <w:rFonts w:hint="eastAsia"/>
                <w:bCs/>
                <w:sz w:val="21"/>
                <w:szCs w:val="21"/>
              </w:rPr>
              <w:t>设施名称</w:t>
            </w:r>
          </w:p>
        </w:tc>
        <w:tc>
          <w:tcPr>
            <w:tcW w:w="3263" w:type="dxa"/>
          </w:tcPr>
          <w:p w14:paraId="4729843E">
            <w:pPr>
              <w:spacing w:line="240" w:lineRule="auto"/>
              <w:ind w:firstLine="0" w:firstLineChars="0"/>
              <w:jc w:val="center"/>
              <w:rPr>
                <w:bCs/>
                <w:sz w:val="21"/>
                <w:szCs w:val="21"/>
              </w:rPr>
            </w:pPr>
            <w:r>
              <w:rPr>
                <w:rFonts w:hint="eastAsia"/>
                <w:bCs/>
                <w:sz w:val="21"/>
                <w:szCs w:val="21"/>
              </w:rPr>
              <w:t>距乔木中心距离（m）</w:t>
            </w:r>
          </w:p>
        </w:tc>
        <w:tc>
          <w:tcPr>
            <w:tcW w:w="3263" w:type="dxa"/>
          </w:tcPr>
          <w:p w14:paraId="1EC3075B">
            <w:pPr>
              <w:spacing w:line="240" w:lineRule="auto"/>
              <w:ind w:firstLine="0" w:firstLineChars="0"/>
              <w:jc w:val="center"/>
              <w:rPr>
                <w:bCs/>
                <w:sz w:val="21"/>
                <w:szCs w:val="21"/>
              </w:rPr>
            </w:pPr>
            <w:r>
              <w:rPr>
                <w:rFonts w:hint="eastAsia"/>
                <w:bCs/>
                <w:sz w:val="21"/>
                <w:szCs w:val="21"/>
              </w:rPr>
              <w:t>距灌木中心距离（m）</w:t>
            </w:r>
          </w:p>
        </w:tc>
      </w:tr>
      <w:tr w14:paraId="17667B58">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3BF271B7">
            <w:pPr>
              <w:spacing w:line="240" w:lineRule="auto"/>
              <w:ind w:firstLine="0" w:firstLineChars="0"/>
              <w:jc w:val="center"/>
              <w:rPr>
                <w:bCs/>
                <w:sz w:val="21"/>
                <w:szCs w:val="21"/>
              </w:rPr>
            </w:pPr>
            <w:r>
              <w:rPr>
                <w:rFonts w:hint="eastAsia"/>
                <w:bCs/>
                <w:sz w:val="21"/>
                <w:szCs w:val="21"/>
              </w:rPr>
              <w:t>低于2m的围墙</w:t>
            </w:r>
          </w:p>
        </w:tc>
        <w:tc>
          <w:tcPr>
            <w:tcW w:w="3263" w:type="dxa"/>
          </w:tcPr>
          <w:p w14:paraId="5F013F63">
            <w:pPr>
              <w:spacing w:line="240" w:lineRule="auto"/>
              <w:ind w:firstLine="0" w:firstLineChars="0"/>
              <w:jc w:val="center"/>
              <w:rPr>
                <w:bCs/>
                <w:sz w:val="21"/>
                <w:szCs w:val="21"/>
              </w:rPr>
            </w:pPr>
            <w:r>
              <w:rPr>
                <w:rFonts w:hint="eastAsia"/>
                <w:bCs/>
                <w:sz w:val="21"/>
                <w:szCs w:val="21"/>
              </w:rPr>
              <w:t>1.0</w:t>
            </w:r>
          </w:p>
        </w:tc>
        <w:tc>
          <w:tcPr>
            <w:tcW w:w="3263" w:type="dxa"/>
          </w:tcPr>
          <w:p w14:paraId="4DE9A4DC">
            <w:pPr>
              <w:spacing w:line="240" w:lineRule="auto"/>
              <w:ind w:firstLine="0" w:firstLineChars="0"/>
              <w:jc w:val="center"/>
              <w:rPr>
                <w:bCs/>
                <w:sz w:val="21"/>
                <w:szCs w:val="21"/>
              </w:rPr>
            </w:pPr>
            <w:r>
              <w:rPr>
                <w:rFonts w:hint="eastAsia"/>
                <w:bCs/>
                <w:sz w:val="21"/>
                <w:szCs w:val="21"/>
              </w:rPr>
              <w:t>-</w:t>
            </w:r>
          </w:p>
        </w:tc>
      </w:tr>
      <w:tr w14:paraId="44B1222B">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51969644">
            <w:pPr>
              <w:spacing w:line="240" w:lineRule="auto"/>
              <w:ind w:firstLine="0" w:firstLineChars="0"/>
              <w:jc w:val="center"/>
              <w:rPr>
                <w:bCs/>
                <w:sz w:val="21"/>
                <w:szCs w:val="21"/>
              </w:rPr>
            </w:pPr>
            <w:r>
              <w:rPr>
                <w:rFonts w:hint="eastAsia"/>
                <w:bCs/>
                <w:sz w:val="21"/>
                <w:szCs w:val="21"/>
              </w:rPr>
              <w:t>挡土墙</w:t>
            </w:r>
          </w:p>
        </w:tc>
        <w:tc>
          <w:tcPr>
            <w:tcW w:w="3263" w:type="dxa"/>
          </w:tcPr>
          <w:p w14:paraId="190F8A7E">
            <w:pPr>
              <w:spacing w:line="240" w:lineRule="auto"/>
              <w:ind w:firstLine="0" w:firstLineChars="0"/>
              <w:jc w:val="center"/>
              <w:rPr>
                <w:bCs/>
                <w:sz w:val="21"/>
                <w:szCs w:val="21"/>
              </w:rPr>
            </w:pPr>
            <w:r>
              <w:rPr>
                <w:rFonts w:hint="eastAsia"/>
                <w:bCs/>
                <w:sz w:val="21"/>
                <w:szCs w:val="21"/>
              </w:rPr>
              <w:t>1.0</w:t>
            </w:r>
          </w:p>
        </w:tc>
        <w:tc>
          <w:tcPr>
            <w:tcW w:w="3263" w:type="dxa"/>
          </w:tcPr>
          <w:p w14:paraId="0440CACF">
            <w:pPr>
              <w:spacing w:line="240" w:lineRule="auto"/>
              <w:ind w:firstLine="0" w:firstLineChars="0"/>
              <w:jc w:val="center"/>
              <w:rPr>
                <w:bCs/>
                <w:sz w:val="21"/>
                <w:szCs w:val="21"/>
              </w:rPr>
            </w:pPr>
            <w:r>
              <w:rPr>
                <w:rFonts w:hint="eastAsia"/>
                <w:bCs/>
                <w:sz w:val="21"/>
                <w:szCs w:val="21"/>
              </w:rPr>
              <w:t>-</w:t>
            </w:r>
          </w:p>
        </w:tc>
      </w:tr>
      <w:tr w14:paraId="719AD1D5">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5A78A396">
            <w:pPr>
              <w:spacing w:line="240" w:lineRule="auto"/>
              <w:ind w:firstLine="0" w:firstLineChars="0"/>
              <w:jc w:val="center"/>
              <w:rPr>
                <w:bCs/>
                <w:sz w:val="21"/>
                <w:szCs w:val="21"/>
              </w:rPr>
            </w:pPr>
            <w:r>
              <w:rPr>
                <w:rFonts w:hint="eastAsia"/>
                <w:bCs/>
                <w:sz w:val="21"/>
                <w:szCs w:val="21"/>
              </w:rPr>
              <w:t>路灯杆柱</w:t>
            </w:r>
          </w:p>
        </w:tc>
        <w:tc>
          <w:tcPr>
            <w:tcW w:w="3263" w:type="dxa"/>
          </w:tcPr>
          <w:p w14:paraId="612894C5">
            <w:pPr>
              <w:spacing w:line="240" w:lineRule="auto"/>
              <w:ind w:firstLine="0" w:firstLineChars="0"/>
              <w:jc w:val="center"/>
              <w:rPr>
                <w:bCs/>
                <w:sz w:val="21"/>
                <w:szCs w:val="21"/>
              </w:rPr>
            </w:pPr>
            <w:r>
              <w:rPr>
                <w:rFonts w:hint="eastAsia"/>
                <w:bCs/>
                <w:sz w:val="21"/>
                <w:szCs w:val="21"/>
              </w:rPr>
              <w:t>2.0</w:t>
            </w:r>
          </w:p>
        </w:tc>
        <w:tc>
          <w:tcPr>
            <w:tcW w:w="3263" w:type="dxa"/>
          </w:tcPr>
          <w:p w14:paraId="6CE03D41">
            <w:pPr>
              <w:spacing w:line="240" w:lineRule="auto"/>
              <w:ind w:firstLine="0" w:firstLineChars="0"/>
              <w:jc w:val="center"/>
              <w:rPr>
                <w:bCs/>
                <w:sz w:val="21"/>
                <w:szCs w:val="21"/>
              </w:rPr>
            </w:pPr>
            <w:r>
              <w:rPr>
                <w:rFonts w:hint="eastAsia"/>
                <w:bCs/>
                <w:sz w:val="21"/>
                <w:szCs w:val="21"/>
              </w:rPr>
              <w:t>-</w:t>
            </w:r>
          </w:p>
        </w:tc>
      </w:tr>
      <w:tr w14:paraId="3EF0011A">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5B70D5E2">
            <w:pPr>
              <w:spacing w:line="240" w:lineRule="auto"/>
              <w:ind w:firstLine="0" w:firstLineChars="0"/>
              <w:jc w:val="center"/>
              <w:rPr>
                <w:bCs/>
                <w:sz w:val="21"/>
                <w:szCs w:val="21"/>
              </w:rPr>
            </w:pPr>
            <w:r>
              <w:rPr>
                <w:rFonts w:hint="eastAsia"/>
                <w:bCs/>
                <w:sz w:val="21"/>
                <w:szCs w:val="21"/>
              </w:rPr>
              <w:t>电力、电信杆柱</w:t>
            </w:r>
          </w:p>
        </w:tc>
        <w:tc>
          <w:tcPr>
            <w:tcW w:w="3263" w:type="dxa"/>
          </w:tcPr>
          <w:p w14:paraId="12CA2289">
            <w:pPr>
              <w:spacing w:line="240" w:lineRule="auto"/>
              <w:ind w:firstLine="0" w:firstLineChars="0"/>
              <w:jc w:val="center"/>
              <w:rPr>
                <w:bCs/>
                <w:sz w:val="21"/>
                <w:szCs w:val="21"/>
              </w:rPr>
            </w:pPr>
            <w:r>
              <w:rPr>
                <w:rFonts w:hint="eastAsia"/>
                <w:bCs/>
                <w:sz w:val="21"/>
                <w:szCs w:val="21"/>
              </w:rPr>
              <w:t>1.5</w:t>
            </w:r>
          </w:p>
        </w:tc>
        <w:tc>
          <w:tcPr>
            <w:tcW w:w="3263" w:type="dxa"/>
          </w:tcPr>
          <w:p w14:paraId="6F9B96AB">
            <w:pPr>
              <w:spacing w:line="240" w:lineRule="auto"/>
              <w:ind w:firstLine="0" w:firstLineChars="0"/>
              <w:jc w:val="center"/>
              <w:rPr>
                <w:bCs/>
                <w:sz w:val="21"/>
                <w:szCs w:val="21"/>
              </w:rPr>
            </w:pPr>
            <w:r>
              <w:rPr>
                <w:rFonts w:hint="eastAsia"/>
                <w:bCs/>
                <w:sz w:val="21"/>
                <w:szCs w:val="21"/>
              </w:rPr>
              <w:t>-</w:t>
            </w:r>
          </w:p>
        </w:tc>
      </w:tr>
      <w:tr w14:paraId="44B4ABC1">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18671A57">
            <w:pPr>
              <w:spacing w:line="240" w:lineRule="auto"/>
              <w:ind w:firstLine="0" w:firstLineChars="0"/>
              <w:jc w:val="center"/>
              <w:rPr>
                <w:bCs/>
                <w:sz w:val="21"/>
                <w:szCs w:val="21"/>
              </w:rPr>
            </w:pPr>
            <w:r>
              <w:rPr>
                <w:rFonts w:hint="eastAsia"/>
                <w:bCs/>
                <w:sz w:val="21"/>
                <w:szCs w:val="21"/>
              </w:rPr>
              <w:t>消防水龙头</w:t>
            </w:r>
          </w:p>
        </w:tc>
        <w:tc>
          <w:tcPr>
            <w:tcW w:w="3263" w:type="dxa"/>
          </w:tcPr>
          <w:p w14:paraId="466A318E">
            <w:pPr>
              <w:spacing w:line="240" w:lineRule="auto"/>
              <w:ind w:firstLine="0" w:firstLineChars="0"/>
              <w:jc w:val="center"/>
              <w:rPr>
                <w:bCs/>
                <w:sz w:val="21"/>
                <w:szCs w:val="21"/>
              </w:rPr>
            </w:pPr>
            <w:r>
              <w:rPr>
                <w:rFonts w:hint="eastAsia"/>
                <w:bCs/>
                <w:sz w:val="21"/>
                <w:szCs w:val="21"/>
              </w:rPr>
              <w:t>1.5</w:t>
            </w:r>
          </w:p>
        </w:tc>
        <w:tc>
          <w:tcPr>
            <w:tcW w:w="3263" w:type="dxa"/>
          </w:tcPr>
          <w:p w14:paraId="72FBE608">
            <w:pPr>
              <w:spacing w:line="240" w:lineRule="auto"/>
              <w:ind w:firstLine="0" w:firstLineChars="0"/>
              <w:jc w:val="center"/>
              <w:rPr>
                <w:bCs/>
                <w:sz w:val="21"/>
                <w:szCs w:val="21"/>
              </w:rPr>
            </w:pPr>
            <w:r>
              <w:rPr>
                <w:rFonts w:hint="eastAsia"/>
                <w:bCs/>
                <w:sz w:val="21"/>
                <w:szCs w:val="21"/>
              </w:rPr>
              <w:t>2.0</w:t>
            </w:r>
          </w:p>
        </w:tc>
      </w:tr>
      <w:tr w14:paraId="68A116CC">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tcPr>
          <w:p w14:paraId="622DE5DA">
            <w:pPr>
              <w:spacing w:line="240" w:lineRule="auto"/>
              <w:ind w:firstLine="0" w:firstLineChars="0"/>
              <w:jc w:val="center"/>
              <w:rPr>
                <w:bCs/>
                <w:sz w:val="21"/>
                <w:szCs w:val="21"/>
              </w:rPr>
            </w:pPr>
            <w:r>
              <w:rPr>
                <w:rFonts w:hint="eastAsia"/>
                <w:bCs/>
                <w:sz w:val="21"/>
                <w:szCs w:val="21"/>
              </w:rPr>
              <w:t>测量水准点</w:t>
            </w:r>
          </w:p>
        </w:tc>
        <w:tc>
          <w:tcPr>
            <w:tcW w:w="3263" w:type="dxa"/>
          </w:tcPr>
          <w:p w14:paraId="15D7B4C3">
            <w:pPr>
              <w:spacing w:line="240" w:lineRule="auto"/>
              <w:ind w:firstLine="0" w:firstLineChars="0"/>
              <w:jc w:val="center"/>
              <w:rPr>
                <w:bCs/>
                <w:sz w:val="21"/>
                <w:szCs w:val="21"/>
              </w:rPr>
            </w:pPr>
            <w:r>
              <w:rPr>
                <w:rFonts w:hint="eastAsia"/>
                <w:bCs/>
                <w:sz w:val="21"/>
                <w:szCs w:val="21"/>
              </w:rPr>
              <w:t>2.0</w:t>
            </w:r>
          </w:p>
        </w:tc>
        <w:tc>
          <w:tcPr>
            <w:tcW w:w="3263" w:type="dxa"/>
          </w:tcPr>
          <w:p w14:paraId="0F3E6B25">
            <w:pPr>
              <w:spacing w:line="240" w:lineRule="auto"/>
              <w:ind w:firstLine="0" w:firstLineChars="0"/>
              <w:jc w:val="center"/>
              <w:rPr>
                <w:bCs/>
                <w:sz w:val="21"/>
                <w:szCs w:val="21"/>
              </w:rPr>
            </w:pPr>
            <w:r>
              <w:rPr>
                <w:rFonts w:hint="eastAsia"/>
                <w:bCs/>
                <w:sz w:val="21"/>
                <w:szCs w:val="21"/>
              </w:rPr>
              <w:t>2.0</w:t>
            </w:r>
          </w:p>
        </w:tc>
      </w:tr>
    </w:tbl>
    <w:p w14:paraId="06F47E55">
      <w:pPr>
        <w:ind w:firstLine="0" w:firstLineChars="0"/>
        <w:jc w:val="center"/>
        <w:rPr>
          <w:b/>
          <w:bCs/>
        </w:rPr>
      </w:pPr>
      <w:r>
        <w:rPr>
          <w:rFonts w:hint="eastAsia"/>
          <w:b/>
          <w:bCs/>
        </w:rPr>
        <w:t>树木与地下管线外缘最小水平距离</w:t>
      </w:r>
    </w:p>
    <w:tbl>
      <w:tblPr>
        <w:tblStyle w:val="17"/>
        <w:tblW w:w="9775" w:type="dxa"/>
        <w:tblInd w:w="0" w:type="dxa"/>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3249"/>
        <w:gridCol w:w="3263"/>
        <w:gridCol w:w="3263"/>
      </w:tblGrid>
      <w:tr w14:paraId="2F474753">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6C9F3DC5">
            <w:pPr>
              <w:spacing w:line="240" w:lineRule="auto"/>
              <w:ind w:firstLine="0" w:firstLineChars="0"/>
              <w:jc w:val="center"/>
              <w:rPr>
                <w:bCs/>
                <w:sz w:val="21"/>
                <w:szCs w:val="21"/>
              </w:rPr>
            </w:pPr>
            <w:r>
              <w:rPr>
                <w:rFonts w:hint="eastAsia"/>
                <w:bCs/>
                <w:sz w:val="21"/>
                <w:szCs w:val="21"/>
              </w:rPr>
              <w:t>管线名称</w:t>
            </w:r>
          </w:p>
        </w:tc>
        <w:tc>
          <w:tcPr>
            <w:tcW w:w="3263" w:type="dxa"/>
            <w:vAlign w:val="center"/>
          </w:tcPr>
          <w:p w14:paraId="3411A5EE">
            <w:pPr>
              <w:spacing w:line="240" w:lineRule="auto"/>
              <w:ind w:firstLine="0" w:firstLineChars="0"/>
              <w:jc w:val="center"/>
              <w:rPr>
                <w:bCs/>
                <w:sz w:val="21"/>
                <w:szCs w:val="21"/>
              </w:rPr>
            </w:pPr>
            <w:r>
              <w:rPr>
                <w:rFonts w:hint="eastAsia"/>
                <w:bCs/>
                <w:sz w:val="21"/>
                <w:szCs w:val="21"/>
              </w:rPr>
              <w:t>距乔木中心距离（m）</w:t>
            </w:r>
          </w:p>
        </w:tc>
        <w:tc>
          <w:tcPr>
            <w:tcW w:w="3263" w:type="dxa"/>
            <w:vAlign w:val="center"/>
          </w:tcPr>
          <w:p w14:paraId="24175C93">
            <w:pPr>
              <w:spacing w:line="240" w:lineRule="auto"/>
              <w:ind w:firstLine="0" w:firstLineChars="0"/>
              <w:jc w:val="center"/>
              <w:rPr>
                <w:bCs/>
                <w:sz w:val="21"/>
                <w:szCs w:val="21"/>
              </w:rPr>
            </w:pPr>
            <w:r>
              <w:rPr>
                <w:rFonts w:hint="eastAsia"/>
                <w:bCs/>
                <w:sz w:val="21"/>
                <w:szCs w:val="21"/>
              </w:rPr>
              <w:t>距灌木中心距离（m）</w:t>
            </w:r>
          </w:p>
        </w:tc>
      </w:tr>
      <w:tr w14:paraId="74BBDA29">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5C87FF69">
            <w:pPr>
              <w:spacing w:line="240" w:lineRule="auto"/>
              <w:ind w:firstLine="0" w:firstLineChars="0"/>
              <w:jc w:val="center"/>
              <w:rPr>
                <w:bCs/>
                <w:sz w:val="21"/>
                <w:szCs w:val="21"/>
              </w:rPr>
            </w:pPr>
            <w:r>
              <w:rPr>
                <w:rFonts w:hint="eastAsia"/>
                <w:bCs/>
                <w:sz w:val="21"/>
                <w:szCs w:val="21"/>
              </w:rPr>
              <w:t>电力电缆</w:t>
            </w:r>
          </w:p>
        </w:tc>
        <w:tc>
          <w:tcPr>
            <w:tcW w:w="3263" w:type="dxa"/>
            <w:vAlign w:val="center"/>
          </w:tcPr>
          <w:p w14:paraId="685E4B30">
            <w:pPr>
              <w:spacing w:line="240" w:lineRule="auto"/>
              <w:ind w:firstLine="0" w:firstLineChars="0"/>
              <w:jc w:val="center"/>
              <w:rPr>
                <w:bCs/>
                <w:sz w:val="21"/>
                <w:szCs w:val="21"/>
              </w:rPr>
            </w:pPr>
            <w:r>
              <w:rPr>
                <w:rFonts w:hint="eastAsia"/>
                <w:bCs/>
                <w:sz w:val="21"/>
                <w:szCs w:val="21"/>
              </w:rPr>
              <w:t>1.0</w:t>
            </w:r>
          </w:p>
        </w:tc>
        <w:tc>
          <w:tcPr>
            <w:tcW w:w="3263" w:type="dxa"/>
            <w:vAlign w:val="center"/>
          </w:tcPr>
          <w:p w14:paraId="04776DCC">
            <w:pPr>
              <w:spacing w:line="240" w:lineRule="auto"/>
              <w:ind w:firstLine="0" w:firstLineChars="0"/>
              <w:jc w:val="center"/>
              <w:rPr>
                <w:bCs/>
                <w:sz w:val="21"/>
                <w:szCs w:val="21"/>
              </w:rPr>
            </w:pPr>
            <w:r>
              <w:rPr>
                <w:rFonts w:hint="eastAsia"/>
                <w:bCs/>
                <w:sz w:val="21"/>
                <w:szCs w:val="21"/>
              </w:rPr>
              <w:t>1.0</w:t>
            </w:r>
          </w:p>
        </w:tc>
      </w:tr>
      <w:tr w14:paraId="19382848">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65AD59CB">
            <w:pPr>
              <w:spacing w:line="240" w:lineRule="auto"/>
              <w:ind w:firstLine="0" w:firstLineChars="0"/>
              <w:jc w:val="center"/>
              <w:rPr>
                <w:bCs/>
                <w:sz w:val="21"/>
                <w:szCs w:val="21"/>
              </w:rPr>
            </w:pPr>
            <w:r>
              <w:rPr>
                <w:rFonts w:hint="eastAsia"/>
                <w:bCs/>
                <w:sz w:val="21"/>
                <w:szCs w:val="21"/>
              </w:rPr>
              <w:t>电信电缆（直埋）</w:t>
            </w:r>
          </w:p>
        </w:tc>
        <w:tc>
          <w:tcPr>
            <w:tcW w:w="3263" w:type="dxa"/>
            <w:vAlign w:val="center"/>
          </w:tcPr>
          <w:p w14:paraId="465AA72C">
            <w:pPr>
              <w:spacing w:line="240" w:lineRule="auto"/>
              <w:ind w:firstLine="0" w:firstLineChars="0"/>
              <w:jc w:val="center"/>
              <w:rPr>
                <w:bCs/>
                <w:sz w:val="21"/>
                <w:szCs w:val="21"/>
              </w:rPr>
            </w:pPr>
            <w:r>
              <w:rPr>
                <w:rFonts w:hint="eastAsia"/>
                <w:bCs/>
                <w:sz w:val="21"/>
                <w:szCs w:val="21"/>
              </w:rPr>
              <w:t>1.0</w:t>
            </w:r>
          </w:p>
        </w:tc>
        <w:tc>
          <w:tcPr>
            <w:tcW w:w="3263" w:type="dxa"/>
            <w:vAlign w:val="center"/>
          </w:tcPr>
          <w:p w14:paraId="1ECC2871">
            <w:pPr>
              <w:spacing w:line="240" w:lineRule="auto"/>
              <w:ind w:firstLine="0" w:firstLineChars="0"/>
              <w:jc w:val="center"/>
              <w:rPr>
                <w:bCs/>
                <w:sz w:val="21"/>
                <w:szCs w:val="21"/>
              </w:rPr>
            </w:pPr>
            <w:r>
              <w:rPr>
                <w:rFonts w:hint="eastAsia"/>
                <w:bCs/>
                <w:sz w:val="21"/>
                <w:szCs w:val="21"/>
              </w:rPr>
              <w:t>1.0</w:t>
            </w:r>
          </w:p>
        </w:tc>
      </w:tr>
      <w:tr w14:paraId="45D21AD8">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1A6E1299">
            <w:pPr>
              <w:spacing w:line="240" w:lineRule="auto"/>
              <w:ind w:firstLine="0" w:firstLineChars="0"/>
              <w:jc w:val="center"/>
              <w:rPr>
                <w:bCs/>
                <w:sz w:val="21"/>
                <w:szCs w:val="21"/>
              </w:rPr>
            </w:pPr>
            <w:r>
              <w:rPr>
                <w:rFonts w:hint="eastAsia"/>
                <w:bCs/>
                <w:sz w:val="21"/>
                <w:szCs w:val="21"/>
              </w:rPr>
              <w:t>电信电缆（管埋）</w:t>
            </w:r>
          </w:p>
        </w:tc>
        <w:tc>
          <w:tcPr>
            <w:tcW w:w="3263" w:type="dxa"/>
            <w:vAlign w:val="center"/>
          </w:tcPr>
          <w:p w14:paraId="0BCC3327">
            <w:pPr>
              <w:spacing w:line="240" w:lineRule="auto"/>
              <w:ind w:firstLine="0" w:firstLineChars="0"/>
              <w:jc w:val="center"/>
              <w:rPr>
                <w:bCs/>
                <w:sz w:val="21"/>
                <w:szCs w:val="21"/>
              </w:rPr>
            </w:pPr>
            <w:r>
              <w:rPr>
                <w:rFonts w:hint="eastAsia"/>
                <w:bCs/>
                <w:sz w:val="21"/>
                <w:szCs w:val="21"/>
              </w:rPr>
              <w:t>1.5</w:t>
            </w:r>
          </w:p>
        </w:tc>
        <w:tc>
          <w:tcPr>
            <w:tcW w:w="3263" w:type="dxa"/>
            <w:vAlign w:val="center"/>
          </w:tcPr>
          <w:p w14:paraId="33D32228">
            <w:pPr>
              <w:spacing w:line="240" w:lineRule="auto"/>
              <w:ind w:firstLine="0" w:firstLineChars="0"/>
              <w:jc w:val="center"/>
              <w:rPr>
                <w:bCs/>
                <w:sz w:val="21"/>
                <w:szCs w:val="21"/>
              </w:rPr>
            </w:pPr>
            <w:r>
              <w:rPr>
                <w:rFonts w:hint="eastAsia"/>
                <w:bCs/>
                <w:sz w:val="21"/>
                <w:szCs w:val="21"/>
              </w:rPr>
              <w:t>1.0</w:t>
            </w:r>
          </w:p>
        </w:tc>
      </w:tr>
      <w:tr w14:paraId="754B7D64">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285CA0CB">
            <w:pPr>
              <w:spacing w:line="240" w:lineRule="auto"/>
              <w:ind w:firstLine="0" w:firstLineChars="0"/>
              <w:jc w:val="center"/>
              <w:rPr>
                <w:bCs/>
                <w:sz w:val="21"/>
                <w:szCs w:val="21"/>
              </w:rPr>
            </w:pPr>
            <w:r>
              <w:rPr>
                <w:rFonts w:hint="eastAsia"/>
                <w:bCs/>
                <w:sz w:val="21"/>
                <w:szCs w:val="21"/>
              </w:rPr>
              <w:t>给水管道</w:t>
            </w:r>
          </w:p>
        </w:tc>
        <w:tc>
          <w:tcPr>
            <w:tcW w:w="3263" w:type="dxa"/>
            <w:vAlign w:val="center"/>
          </w:tcPr>
          <w:p w14:paraId="04915ACD">
            <w:pPr>
              <w:spacing w:line="240" w:lineRule="auto"/>
              <w:ind w:firstLine="0" w:firstLineChars="0"/>
              <w:jc w:val="center"/>
              <w:rPr>
                <w:bCs/>
                <w:sz w:val="21"/>
                <w:szCs w:val="21"/>
              </w:rPr>
            </w:pPr>
            <w:r>
              <w:rPr>
                <w:rFonts w:hint="eastAsia"/>
                <w:bCs/>
                <w:sz w:val="21"/>
                <w:szCs w:val="21"/>
              </w:rPr>
              <w:t>1.5</w:t>
            </w:r>
          </w:p>
        </w:tc>
        <w:tc>
          <w:tcPr>
            <w:tcW w:w="3263" w:type="dxa"/>
            <w:vAlign w:val="center"/>
          </w:tcPr>
          <w:p w14:paraId="57550FC9">
            <w:pPr>
              <w:spacing w:line="240" w:lineRule="auto"/>
              <w:ind w:firstLine="0" w:firstLineChars="0"/>
              <w:jc w:val="center"/>
              <w:rPr>
                <w:bCs/>
                <w:sz w:val="21"/>
                <w:szCs w:val="21"/>
              </w:rPr>
            </w:pPr>
            <w:r>
              <w:rPr>
                <w:rFonts w:hint="eastAsia"/>
                <w:bCs/>
                <w:sz w:val="21"/>
                <w:szCs w:val="21"/>
              </w:rPr>
              <w:t>-</w:t>
            </w:r>
          </w:p>
        </w:tc>
      </w:tr>
      <w:tr w14:paraId="53D49D86">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6C164A54">
            <w:pPr>
              <w:spacing w:line="240" w:lineRule="auto"/>
              <w:ind w:firstLine="0" w:firstLineChars="0"/>
              <w:jc w:val="center"/>
              <w:rPr>
                <w:bCs/>
                <w:sz w:val="21"/>
                <w:szCs w:val="21"/>
              </w:rPr>
            </w:pPr>
            <w:r>
              <w:rPr>
                <w:rFonts w:hint="eastAsia"/>
                <w:bCs/>
                <w:sz w:val="21"/>
                <w:szCs w:val="21"/>
              </w:rPr>
              <w:t>雨水管道</w:t>
            </w:r>
          </w:p>
        </w:tc>
        <w:tc>
          <w:tcPr>
            <w:tcW w:w="3263" w:type="dxa"/>
            <w:vAlign w:val="center"/>
          </w:tcPr>
          <w:p w14:paraId="2E2E7306">
            <w:pPr>
              <w:spacing w:line="240" w:lineRule="auto"/>
              <w:ind w:firstLine="0" w:firstLineChars="0"/>
              <w:jc w:val="center"/>
              <w:rPr>
                <w:bCs/>
                <w:sz w:val="21"/>
                <w:szCs w:val="21"/>
              </w:rPr>
            </w:pPr>
            <w:r>
              <w:rPr>
                <w:rFonts w:hint="eastAsia"/>
                <w:bCs/>
                <w:sz w:val="21"/>
                <w:szCs w:val="21"/>
              </w:rPr>
              <w:t>1.5</w:t>
            </w:r>
          </w:p>
        </w:tc>
        <w:tc>
          <w:tcPr>
            <w:tcW w:w="3263" w:type="dxa"/>
            <w:vAlign w:val="center"/>
          </w:tcPr>
          <w:p w14:paraId="46FF866B">
            <w:pPr>
              <w:spacing w:line="240" w:lineRule="auto"/>
              <w:ind w:firstLine="0" w:firstLineChars="0"/>
              <w:jc w:val="center"/>
              <w:rPr>
                <w:bCs/>
                <w:sz w:val="21"/>
                <w:szCs w:val="21"/>
              </w:rPr>
            </w:pPr>
            <w:r>
              <w:rPr>
                <w:rFonts w:hint="eastAsia"/>
                <w:bCs/>
                <w:sz w:val="21"/>
                <w:szCs w:val="21"/>
              </w:rPr>
              <w:t>-</w:t>
            </w:r>
          </w:p>
        </w:tc>
      </w:tr>
      <w:tr w14:paraId="06478963">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1EABF1AD">
            <w:pPr>
              <w:spacing w:line="240" w:lineRule="auto"/>
              <w:ind w:firstLine="0" w:firstLineChars="0"/>
              <w:jc w:val="center"/>
              <w:rPr>
                <w:bCs/>
                <w:sz w:val="21"/>
                <w:szCs w:val="21"/>
              </w:rPr>
            </w:pPr>
            <w:r>
              <w:rPr>
                <w:rFonts w:hint="eastAsia"/>
                <w:bCs/>
                <w:sz w:val="21"/>
                <w:szCs w:val="21"/>
              </w:rPr>
              <w:t>污水管道</w:t>
            </w:r>
          </w:p>
        </w:tc>
        <w:tc>
          <w:tcPr>
            <w:tcW w:w="3263" w:type="dxa"/>
            <w:vAlign w:val="center"/>
          </w:tcPr>
          <w:p w14:paraId="45634513">
            <w:pPr>
              <w:spacing w:line="240" w:lineRule="auto"/>
              <w:ind w:firstLine="0" w:firstLineChars="0"/>
              <w:jc w:val="center"/>
              <w:rPr>
                <w:bCs/>
                <w:sz w:val="21"/>
                <w:szCs w:val="21"/>
              </w:rPr>
            </w:pPr>
            <w:r>
              <w:rPr>
                <w:rFonts w:hint="eastAsia"/>
                <w:bCs/>
                <w:sz w:val="21"/>
                <w:szCs w:val="21"/>
              </w:rPr>
              <w:t>1.5</w:t>
            </w:r>
          </w:p>
        </w:tc>
        <w:tc>
          <w:tcPr>
            <w:tcW w:w="3263" w:type="dxa"/>
            <w:vAlign w:val="center"/>
          </w:tcPr>
          <w:p w14:paraId="0C5DD1D5">
            <w:pPr>
              <w:spacing w:line="240" w:lineRule="auto"/>
              <w:ind w:firstLine="0" w:firstLineChars="0"/>
              <w:jc w:val="center"/>
              <w:rPr>
                <w:bCs/>
                <w:sz w:val="21"/>
                <w:szCs w:val="21"/>
              </w:rPr>
            </w:pPr>
            <w:r>
              <w:rPr>
                <w:rFonts w:hint="eastAsia"/>
                <w:bCs/>
                <w:sz w:val="21"/>
                <w:szCs w:val="21"/>
              </w:rPr>
              <w:t>-</w:t>
            </w:r>
          </w:p>
        </w:tc>
      </w:tr>
      <w:tr w14:paraId="2026E1EE">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016E4681">
            <w:pPr>
              <w:spacing w:line="240" w:lineRule="auto"/>
              <w:ind w:firstLine="0" w:firstLineChars="0"/>
              <w:jc w:val="center"/>
              <w:rPr>
                <w:bCs/>
                <w:sz w:val="21"/>
                <w:szCs w:val="21"/>
              </w:rPr>
            </w:pPr>
            <w:r>
              <w:rPr>
                <w:rFonts w:hint="eastAsia"/>
                <w:bCs/>
                <w:sz w:val="21"/>
                <w:szCs w:val="21"/>
              </w:rPr>
              <w:t>燃气管道</w:t>
            </w:r>
          </w:p>
        </w:tc>
        <w:tc>
          <w:tcPr>
            <w:tcW w:w="3263" w:type="dxa"/>
            <w:vAlign w:val="center"/>
          </w:tcPr>
          <w:p w14:paraId="7E93646D">
            <w:pPr>
              <w:spacing w:line="240" w:lineRule="auto"/>
              <w:ind w:firstLine="0" w:firstLineChars="0"/>
              <w:jc w:val="center"/>
              <w:rPr>
                <w:bCs/>
                <w:sz w:val="21"/>
                <w:szCs w:val="21"/>
              </w:rPr>
            </w:pPr>
            <w:r>
              <w:rPr>
                <w:rFonts w:hint="eastAsia"/>
                <w:bCs/>
                <w:sz w:val="21"/>
                <w:szCs w:val="21"/>
              </w:rPr>
              <w:t>1.2</w:t>
            </w:r>
          </w:p>
        </w:tc>
        <w:tc>
          <w:tcPr>
            <w:tcW w:w="3263" w:type="dxa"/>
            <w:vAlign w:val="center"/>
          </w:tcPr>
          <w:p w14:paraId="7780B82F">
            <w:pPr>
              <w:spacing w:line="240" w:lineRule="auto"/>
              <w:ind w:firstLine="0" w:firstLineChars="0"/>
              <w:jc w:val="center"/>
              <w:rPr>
                <w:bCs/>
                <w:sz w:val="21"/>
                <w:szCs w:val="21"/>
              </w:rPr>
            </w:pPr>
            <w:r>
              <w:rPr>
                <w:rFonts w:hint="eastAsia"/>
                <w:bCs/>
                <w:sz w:val="21"/>
                <w:szCs w:val="21"/>
              </w:rPr>
              <w:t>1.2</w:t>
            </w:r>
          </w:p>
        </w:tc>
      </w:tr>
      <w:tr w14:paraId="45E2984C">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0EB62EDF">
            <w:pPr>
              <w:spacing w:line="240" w:lineRule="auto"/>
              <w:ind w:firstLine="0" w:firstLineChars="0"/>
              <w:jc w:val="center"/>
              <w:rPr>
                <w:bCs/>
                <w:sz w:val="21"/>
                <w:szCs w:val="21"/>
              </w:rPr>
            </w:pPr>
            <w:r>
              <w:rPr>
                <w:rFonts w:hint="eastAsia"/>
                <w:bCs/>
                <w:sz w:val="21"/>
                <w:szCs w:val="21"/>
              </w:rPr>
              <w:t>热力管道</w:t>
            </w:r>
          </w:p>
        </w:tc>
        <w:tc>
          <w:tcPr>
            <w:tcW w:w="3263" w:type="dxa"/>
            <w:vAlign w:val="center"/>
          </w:tcPr>
          <w:p w14:paraId="7E30D875">
            <w:pPr>
              <w:spacing w:line="240" w:lineRule="auto"/>
              <w:ind w:firstLine="0" w:firstLineChars="0"/>
              <w:jc w:val="center"/>
              <w:rPr>
                <w:bCs/>
                <w:sz w:val="21"/>
                <w:szCs w:val="21"/>
              </w:rPr>
            </w:pPr>
            <w:r>
              <w:rPr>
                <w:rFonts w:hint="eastAsia"/>
                <w:bCs/>
                <w:sz w:val="21"/>
                <w:szCs w:val="21"/>
              </w:rPr>
              <w:t>1.5</w:t>
            </w:r>
          </w:p>
        </w:tc>
        <w:tc>
          <w:tcPr>
            <w:tcW w:w="3263" w:type="dxa"/>
            <w:vAlign w:val="center"/>
          </w:tcPr>
          <w:p w14:paraId="32ECEA3B">
            <w:pPr>
              <w:spacing w:line="240" w:lineRule="auto"/>
              <w:ind w:firstLine="0" w:firstLineChars="0"/>
              <w:jc w:val="center"/>
              <w:rPr>
                <w:bCs/>
                <w:sz w:val="21"/>
                <w:szCs w:val="21"/>
              </w:rPr>
            </w:pPr>
            <w:r>
              <w:rPr>
                <w:rFonts w:hint="eastAsia"/>
                <w:bCs/>
                <w:sz w:val="21"/>
                <w:szCs w:val="21"/>
              </w:rPr>
              <w:t>1.5</w:t>
            </w:r>
          </w:p>
        </w:tc>
      </w:tr>
      <w:tr w14:paraId="2E1AF802">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c>
          <w:tcPr>
            <w:tcW w:w="3249" w:type="dxa"/>
            <w:vAlign w:val="center"/>
          </w:tcPr>
          <w:p w14:paraId="20F984A9">
            <w:pPr>
              <w:spacing w:line="240" w:lineRule="auto"/>
              <w:ind w:firstLine="0" w:firstLineChars="0"/>
              <w:jc w:val="center"/>
              <w:rPr>
                <w:bCs/>
                <w:sz w:val="21"/>
                <w:szCs w:val="21"/>
              </w:rPr>
            </w:pPr>
            <w:r>
              <w:rPr>
                <w:rFonts w:hint="eastAsia"/>
                <w:bCs/>
                <w:sz w:val="21"/>
                <w:szCs w:val="21"/>
              </w:rPr>
              <w:t>排水盲沟</w:t>
            </w:r>
          </w:p>
        </w:tc>
        <w:tc>
          <w:tcPr>
            <w:tcW w:w="3263" w:type="dxa"/>
            <w:vAlign w:val="center"/>
          </w:tcPr>
          <w:p w14:paraId="1F631433">
            <w:pPr>
              <w:spacing w:line="240" w:lineRule="auto"/>
              <w:ind w:firstLine="0" w:firstLineChars="0"/>
              <w:jc w:val="center"/>
              <w:rPr>
                <w:bCs/>
                <w:sz w:val="21"/>
                <w:szCs w:val="21"/>
              </w:rPr>
            </w:pPr>
            <w:r>
              <w:rPr>
                <w:rFonts w:hint="eastAsia"/>
                <w:bCs/>
                <w:sz w:val="21"/>
                <w:szCs w:val="21"/>
              </w:rPr>
              <w:t>1.0</w:t>
            </w:r>
          </w:p>
        </w:tc>
        <w:tc>
          <w:tcPr>
            <w:tcW w:w="3263" w:type="dxa"/>
            <w:vAlign w:val="center"/>
          </w:tcPr>
          <w:p w14:paraId="370AA2F9">
            <w:pPr>
              <w:spacing w:line="240" w:lineRule="auto"/>
              <w:ind w:firstLine="0" w:firstLineChars="0"/>
              <w:jc w:val="center"/>
              <w:rPr>
                <w:bCs/>
                <w:sz w:val="21"/>
                <w:szCs w:val="21"/>
              </w:rPr>
            </w:pPr>
            <w:r>
              <w:rPr>
                <w:rFonts w:hint="eastAsia"/>
                <w:bCs/>
                <w:sz w:val="21"/>
                <w:szCs w:val="21"/>
              </w:rPr>
              <w:t>-</w:t>
            </w:r>
          </w:p>
        </w:tc>
      </w:tr>
    </w:tbl>
    <w:p w14:paraId="5BA93E7D">
      <w:pPr>
        <w:ind w:firstLine="0" w:firstLineChars="0"/>
        <w:jc w:val="center"/>
        <w:rPr>
          <w:b/>
          <w:bCs/>
        </w:rPr>
      </w:pPr>
      <w:r>
        <w:rPr>
          <w:rFonts w:hint="eastAsia"/>
          <w:b/>
          <w:bCs/>
        </w:rPr>
        <w:t>树木与架空电力线路道路的最小垂直距离要求</w:t>
      </w:r>
    </w:p>
    <w:tbl>
      <w:tblPr>
        <w:tblStyle w:val="17"/>
        <w:tblW w:w="9775" w:type="dxa"/>
        <w:tblInd w:w="0" w:type="dxa"/>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2738"/>
        <w:gridCol w:w="1169"/>
        <w:gridCol w:w="1964"/>
        <w:gridCol w:w="1975"/>
        <w:gridCol w:w="1929"/>
      </w:tblGrid>
      <w:tr w14:paraId="34703441">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738" w:type="dxa"/>
            <w:vAlign w:val="center"/>
          </w:tcPr>
          <w:p w14:paraId="06CF327B">
            <w:pPr>
              <w:spacing w:line="240" w:lineRule="auto"/>
              <w:ind w:firstLine="0" w:firstLineChars="0"/>
              <w:jc w:val="center"/>
              <w:rPr>
                <w:bCs/>
                <w:sz w:val="21"/>
                <w:szCs w:val="21"/>
              </w:rPr>
            </w:pPr>
            <w:r>
              <w:rPr>
                <w:rFonts w:hint="eastAsia"/>
                <w:bCs/>
                <w:sz w:val="21"/>
                <w:szCs w:val="21"/>
              </w:rPr>
              <w:t>电压（KV）</w:t>
            </w:r>
          </w:p>
        </w:tc>
        <w:tc>
          <w:tcPr>
            <w:tcW w:w="1169" w:type="dxa"/>
            <w:vAlign w:val="center"/>
          </w:tcPr>
          <w:p w14:paraId="55D04FD4">
            <w:pPr>
              <w:spacing w:line="240" w:lineRule="auto"/>
              <w:ind w:firstLine="0" w:firstLineChars="0"/>
              <w:jc w:val="center"/>
              <w:rPr>
                <w:bCs/>
                <w:sz w:val="21"/>
                <w:szCs w:val="21"/>
              </w:rPr>
            </w:pPr>
            <w:r>
              <w:rPr>
                <w:rFonts w:hint="eastAsia"/>
                <w:bCs/>
                <w:sz w:val="21"/>
                <w:szCs w:val="21"/>
              </w:rPr>
              <w:t>1~10</w:t>
            </w:r>
          </w:p>
        </w:tc>
        <w:tc>
          <w:tcPr>
            <w:tcW w:w="1964" w:type="dxa"/>
            <w:vAlign w:val="center"/>
          </w:tcPr>
          <w:p w14:paraId="33936C3B">
            <w:pPr>
              <w:spacing w:line="240" w:lineRule="auto"/>
              <w:ind w:firstLine="0" w:firstLineChars="0"/>
              <w:jc w:val="center"/>
              <w:rPr>
                <w:bCs/>
                <w:sz w:val="21"/>
                <w:szCs w:val="21"/>
              </w:rPr>
            </w:pPr>
            <w:r>
              <w:rPr>
                <w:rFonts w:hint="eastAsia"/>
                <w:bCs/>
                <w:sz w:val="21"/>
                <w:szCs w:val="21"/>
              </w:rPr>
              <w:t>35~110</w:t>
            </w:r>
          </w:p>
        </w:tc>
        <w:tc>
          <w:tcPr>
            <w:tcW w:w="1975" w:type="dxa"/>
            <w:vAlign w:val="center"/>
          </w:tcPr>
          <w:p w14:paraId="39ABE2B5">
            <w:pPr>
              <w:spacing w:line="240" w:lineRule="auto"/>
              <w:ind w:firstLine="0" w:firstLineChars="0"/>
              <w:jc w:val="center"/>
              <w:rPr>
                <w:bCs/>
                <w:sz w:val="21"/>
                <w:szCs w:val="21"/>
              </w:rPr>
            </w:pPr>
            <w:r>
              <w:rPr>
                <w:rFonts w:hint="eastAsia"/>
                <w:bCs/>
                <w:sz w:val="21"/>
                <w:szCs w:val="21"/>
              </w:rPr>
              <w:t>154~220</w:t>
            </w:r>
          </w:p>
        </w:tc>
        <w:tc>
          <w:tcPr>
            <w:tcW w:w="1929" w:type="dxa"/>
            <w:vAlign w:val="center"/>
          </w:tcPr>
          <w:p w14:paraId="12251A57">
            <w:pPr>
              <w:spacing w:line="240" w:lineRule="auto"/>
              <w:ind w:firstLine="0" w:firstLineChars="0"/>
              <w:jc w:val="center"/>
              <w:rPr>
                <w:bCs/>
                <w:sz w:val="21"/>
                <w:szCs w:val="21"/>
              </w:rPr>
            </w:pPr>
            <w:r>
              <w:rPr>
                <w:rFonts w:hint="eastAsia"/>
                <w:bCs/>
                <w:sz w:val="21"/>
                <w:szCs w:val="21"/>
              </w:rPr>
              <w:t>330</w:t>
            </w:r>
          </w:p>
        </w:tc>
      </w:tr>
      <w:tr w14:paraId="4F897BF4">
        <w:tblPrEx>
          <w:tblBorders>
            <w:top w:val="thinThickSmallGap" w:color="000000" w:sz="24" w:space="0"/>
            <w:left w:val="thinThickSmallGap" w:color="000000" w:sz="24" w:space="0"/>
            <w:bottom w:val="thickThinSmallGap" w:color="000000" w:sz="24" w:space="0"/>
            <w:right w:val="thickThinSmallGap" w:color="000000" w:sz="24"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738" w:type="dxa"/>
            <w:vAlign w:val="center"/>
          </w:tcPr>
          <w:p w14:paraId="4F916160">
            <w:pPr>
              <w:spacing w:line="240" w:lineRule="auto"/>
              <w:ind w:firstLine="0" w:firstLineChars="0"/>
              <w:jc w:val="center"/>
              <w:rPr>
                <w:bCs/>
                <w:sz w:val="21"/>
                <w:szCs w:val="21"/>
              </w:rPr>
            </w:pPr>
            <w:r>
              <w:rPr>
                <w:rFonts w:hint="eastAsia"/>
                <w:bCs/>
                <w:sz w:val="21"/>
                <w:szCs w:val="21"/>
              </w:rPr>
              <w:t>最小垂直距离（m）</w:t>
            </w:r>
          </w:p>
        </w:tc>
        <w:tc>
          <w:tcPr>
            <w:tcW w:w="1169" w:type="dxa"/>
            <w:vAlign w:val="center"/>
          </w:tcPr>
          <w:p w14:paraId="17518FD2">
            <w:pPr>
              <w:spacing w:line="240" w:lineRule="auto"/>
              <w:ind w:firstLine="0" w:firstLineChars="0"/>
              <w:jc w:val="center"/>
              <w:rPr>
                <w:bCs/>
                <w:sz w:val="21"/>
                <w:szCs w:val="21"/>
              </w:rPr>
            </w:pPr>
            <w:r>
              <w:rPr>
                <w:rFonts w:hint="eastAsia"/>
                <w:bCs/>
                <w:sz w:val="21"/>
                <w:szCs w:val="21"/>
              </w:rPr>
              <w:t>1.5</w:t>
            </w:r>
          </w:p>
        </w:tc>
        <w:tc>
          <w:tcPr>
            <w:tcW w:w="1964" w:type="dxa"/>
            <w:vAlign w:val="center"/>
          </w:tcPr>
          <w:p w14:paraId="2F072D01">
            <w:pPr>
              <w:spacing w:line="240" w:lineRule="auto"/>
              <w:ind w:firstLine="0" w:firstLineChars="0"/>
              <w:jc w:val="center"/>
              <w:rPr>
                <w:bCs/>
                <w:sz w:val="21"/>
                <w:szCs w:val="21"/>
              </w:rPr>
            </w:pPr>
            <w:r>
              <w:rPr>
                <w:rFonts w:hint="eastAsia"/>
                <w:bCs/>
                <w:sz w:val="21"/>
                <w:szCs w:val="21"/>
              </w:rPr>
              <w:t>3.0</w:t>
            </w:r>
          </w:p>
        </w:tc>
        <w:tc>
          <w:tcPr>
            <w:tcW w:w="1975" w:type="dxa"/>
            <w:vAlign w:val="center"/>
          </w:tcPr>
          <w:p w14:paraId="41563E4E">
            <w:pPr>
              <w:spacing w:line="240" w:lineRule="auto"/>
              <w:ind w:firstLine="0" w:firstLineChars="0"/>
              <w:jc w:val="center"/>
              <w:rPr>
                <w:bCs/>
                <w:sz w:val="21"/>
                <w:szCs w:val="21"/>
              </w:rPr>
            </w:pPr>
            <w:r>
              <w:rPr>
                <w:rFonts w:hint="eastAsia"/>
                <w:bCs/>
                <w:sz w:val="21"/>
                <w:szCs w:val="21"/>
              </w:rPr>
              <w:t>3.5</w:t>
            </w:r>
          </w:p>
        </w:tc>
        <w:tc>
          <w:tcPr>
            <w:tcW w:w="1929" w:type="dxa"/>
            <w:vAlign w:val="center"/>
          </w:tcPr>
          <w:p w14:paraId="24A0FFFE">
            <w:pPr>
              <w:spacing w:line="240" w:lineRule="auto"/>
              <w:ind w:firstLine="0" w:firstLineChars="0"/>
              <w:jc w:val="center"/>
              <w:rPr>
                <w:bCs/>
                <w:sz w:val="21"/>
                <w:szCs w:val="21"/>
              </w:rPr>
            </w:pPr>
            <w:r>
              <w:rPr>
                <w:rFonts w:hint="eastAsia"/>
                <w:bCs/>
                <w:sz w:val="21"/>
                <w:szCs w:val="21"/>
              </w:rPr>
              <w:t>4.5</w:t>
            </w:r>
          </w:p>
        </w:tc>
      </w:tr>
    </w:tbl>
    <w:p w14:paraId="686520D2">
      <w:pPr>
        <w:ind w:firstLine="0" w:firstLineChars="0"/>
      </w:pPr>
    </w:p>
    <w:sectPr>
      <w:headerReference r:id="rId13" w:type="first"/>
      <w:footerReference r:id="rId16" w:type="first"/>
      <w:headerReference r:id="rId11" w:type="default"/>
      <w:footerReference r:id="rId14" w:type="default"/>
      <w:headerReference r:id="rId12" w:type="even"/>
      <w:footerReference r:id="rId15" w:type="even"/>
      <w:pgSz w:w="23811" w:h="16838" w:orient="landscape"/>
      <w:pgMar w:top="1418" w:right="1440" w:bottom="1134" w:left="1440" w:header="680" w:footer="737" w:gutter="0"/>
      <w:cols w:space="1201" w:num="2"/>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D2284">
    <w:pPr>
      <w:pStyle w:val="12"/>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486C">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3EAD4">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0206256"/>
    </w:sdtPr>
    <w:sdtEndPr>
      <w:rPr>
        <w:sz w:val="21"/>
        <w:szCs w:val="21"/>
      </w:rPr>
    </w:sdtEndPr>
    <w:sdtContent>
      <w:sdt>
        <w:sdtPr>
          <w:id w:val="-1769616900"/>
        </w:sdtPr>
        <w:sdtEndPr>
          <w:rPr>
            <w:sz w:val="21"/>
            <w:szCs w:val="21"/>
          </w:rPr>
        </w:sdtEndPr>
        <w:sdtContent>
          <w:p w14:paraId="1880EE90">
            <w:pPr>
              <w:pStyle w:val="12"/>
              <w:pBdr>
                <w:top w:val="thinThickSmallGap" w:color="auto" w:sz="24" w:space="1"/>
              </w:pBdr>
              <w:ind w:firstLine="360"/>
              <w:jc w:val="center"/>
              <w:rPr>
                <w:sz w:val="21"/>
                <w:szCs w:val="21"/>
              </w:rPr>
            </w:pPr>
            <w:r>
              <w:rPr>
                <w:rFonts w:hint="eastAsia"/>
                <w:sz w:val="21"/>
              </w:rPr>
              <w:t xml:space="preserve">第 </w:t>
            </w:r>
            <w:r>
              <w:rPr>
                <w:sz w:val="21"/>
                <w:szCs w:val="21"/>
              </w:rPr>
              <w:fldChar w:fldCharType="begin"/>
            </w:r>
            <w:r>
              <w:rPr>
                <w:sz w:val="21"/>
                <w:szCs w:val="21"/>
              </w:rPr>
              <w:instrText xml:space="preserve">PAGE</w:instrText>
            </w:r>
            <w:r>
              <w:rPr>
                <w:sz w:val="21"/>
                <w:szCs w:val="21"/>
              </w:rPr>
              <w:fldChar w:fldCharType="separate"/>
            </w:r>
            <w:r>
              <w:rPr>
                <w:sz w:val="21"/>
                <w:szCs w:val="21"/>
                <w:lang w:val="zh-CN"/>
              </w:rPr>
              <w:t>2</w:t>
            </w:r>
            <w:r>
              <w:rPr>
                <w:sz w:val="21"/>
                <w:szCs w:val="21"/>
              </w:rPr>
              <w:fldChar w:fldCharType="end"/>
            </w:r>
            <w:r>
              <w:rPr>
                <w:sz w:val="21"/>
                <w:szCs w:val="21"/>
              </w:rPr>
              <w:t xml:space="preserve"> </w:t>
            </w:r>
            <w:r>
              <w:rPr>
                <w:rFonts w:hint="eastAsia"/>
                <w:sz w:val="21"/>
                <w:szCs w:val="21"/>
              </w:rPr>
              <w:t xml:space="preserve">页 </w:t>
            </w:r>
            <w:r>
              <w:rPr>
                <w:rFonts w:hint="eastAsia"/>
                <w:sz w:val="21"/>
                <w:szCs w:val="21"/>
                <w:lang w:val="zh-CN"/>
              </w:rPr>
              <w:t xml:space="preserve">共 </w:t>
            </w:r>
            <w:r>
              <w:rPr>
                <w:sz w:val="21"/>
                <w:szCs w:val="21"/>
              </w:rPr>
              <w:fldChar w:fldCharType="begin"/>
            </w:r>
            <w:r>
              <w:rPr>
                <w:sz w:val="21"/>
                <w:szCs w:val="21"/>
              </w:rPr>
              <w:instrText xml:space="preserve">NUMPAGES</w:instrText>
            </w:r>
            <w:r>
              <w:rPr>
                <w:sz w:val="21"/>
                <w:szCs w:val="21"/>
              </w:rPr>
              <w:fldChar w:fldCharType="separate"/>
            </w:r>
            <w:r>
              <w:rPr>
                <w:sz w:val="21"/>
                <w:szCs w:val="21"/>
                <w:lang w:val="zh-CN"/>
              </w:rPr>
              <w:t>2</w:t>
            </w:r>
            <w:r>
              <w:rPr>
                <w:sz w:val="21"/>
                <w:szCs w:val="21"/>
              </w:rPr>
              <w:fldChar w:fldCharType="end"/>
            </w:r>
            <w:r>
              <w:rPr>
                <w:sz w:val="21"/>
                <w:szCs w:val="21"/>
              </w:rPr>
              <w:t xml:space="preserve"> </w:t>
            </w:r>
            <w:r>
              <w:rPr>
                <w:rFonts w:hint="eastAsia"/>
                <w:sz w:val="21"/>
                <w:szCs w:val="21"/>
              </w:rPr>
              <w:t>页</w:t>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C1505">
    <w:pPr>
      <w:pStyle w:val="1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DA1D7">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E66C">
    <w:pPr>
      <w:pStyle w:val="13"/>
      <w:pBdr>
        <w:bottom w:val="none" w:color="auto" w:sz="0" w:space="0"/>
      </w:pBdr>
      <w:ind w:firstLine="0" w:firstLineChars="0"/>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BE199">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605A9">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3FE02">
    <w:pPr>
      <w:pStyle w:val="13"/>
      <w:pBdr>
        <w:bottom w:val="thinThickSmallGap" w:color="auto" w:sz="24" w:space="1"/>
      </w:pBdr>
      <w:ind w:firstLine="0" w:firstLineChars="0"/>
      <w:jc w:val="left"/>
      <w:rPr>
        <w:sz w:val="21"/>
        <w:szCs w:val="21"/>
      </w:rPr>
    </w:pPr>
    <w:r>
      <w:rPr>
        <w:rFonts w:hint="eastAsia" w:ascii="宋体" w:hAnsi="宋体"/>
        <w:bCs/>
        <w:sz w:val="21"/>
        <w:szCs w:val="21"/>
        <w:lang w:eastAsia="zh-CN"/>
      </w:rPr>
      <w:t>广州空港经济区拆迁安置区（花东安置区）教育配套设施建设项目</w:t>
    </w:r>
    <w:r>
      <w:rPr>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65066">
    <w:pPr>
      <w:pStyle w:val="13"/>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7566A">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507684"/>
    <w:multiLevelType w:val="multilevel"/>
    <w:tmpl w:val="35507684"/>
    <w:lvl w:ilvl="0" w:tentative="0">
      <w:start w:val="1"/>
      <w:numFmt w:val="decimal"/>
      <w:pStyle w:val="32"/>
      <w:suff w:val="nothing"/>
      <w:lvlText w:val="（%1）"/>
      <w:lvlJc w:val="left"/>
      <w:pPr>
        <w:ind w:left="0" w:firstLine="0"/>
      </w:pPr>
      <w:rPr>
        <w:rFonts w:hint="default" w:ascii="Times New Roman" w:hAnsi="Times New Roman"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30220D0"/>
    <w:multiLevelType w:val="multilevel"/>
    <w:tmpl w:val="630220D0"/>
    <w:lvl w:ilvl="0" w:tentative="0">
      <w:start w:val="1"/>
      <w:numFmt w:val="chineseCountingThousand"/>
      <w:pStyle w:val="2"/>
      <w:suff w:val="space"/>
      <w:lvlText w:val="第%1章"/>
      <w:lvlJc w:val="left"/>
      <w:pPr>
        <w:ind w:left="0" w:firstLine="0"/>
      </w:pPr>
      <w:rPr>
        <w:rFonts w:hint="eastAsia"/>
      </w:rPr>
    </w:lvl>
    <w:lvl w:ilvl="1" w:tentative="0">
      <w:start w:val="1"/>
      <w:numFmt w:val="decimal"/>
      <w:pStyle w:val="3"/>
      <w:isLgl/>
      <w:suff w:val="space"/>
      <w:lvlText w:val="%1.%2"/>
      <w:lvlJc w:val="left"/>
      <w:pPr>
        <w:ind w:left="0" w:firstLine="0"/>
      </w:pPr>
      <w:rPr>
        <w:rFonts w:hint="eastAsia"/>
      </w:rPr>
    </w:lvl>
    <w:lvl w:ilvl="2" w:tentative="0">
      <w:start w:val="1"/>
      <w:numFmt w:val="decimal"/>
      <w:pStyle w:val="4"/>
      <w:isLgl/>
      <w:suff w:val="space"/>
      <w:lvlText w:val="%1.%2.%3"/>
      <w:lvlJc w:val="left"/>
      <w:pPr>
        <w:ind w:left="0" w:firstLine="0"/>
      </w:pPr>
      <w:rPr>
        <w:rFonts w:hint="eastAsia"/>
      </w:rPr>
    </w:lvl>
    <w:lvl w:ilvl="3" w:tentative="0">
      <w:start w:val="1"/>
      <w:numFmt w:val="decimal"/>
      <w:pStyle w:val="5"/>
      <w:isLgl/>
      <w:suff w:val="space"/>
      <w:lvlText w:val="%1.%2.%3.%4"/>
      <w:lvlJc w:val="left"/>
      <w:pPr>
        <w:ind w:left="0" w:firstLine="0"/>
      </w:pPr>
      <w:rPr>
        <w:rFonts w:hint="eastAsia"/>
      </w:rPr>
    </w:lvl>
    <w:lvl w:ilvl="4" w:tentative="0">
      <w:start w:val="1"/>
      <w:numFmt w:val="decimal"/>
      <w:isLg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7E611A81"/>
    <w:multiLevelType w:val="multilevel"/>
    <w:tmpl w:val="7E611A81"/>
    <w:lvl w:ilvl="0" w:tentative="0">
      <w:start w:val="1"/>
      <w:numFmt w:val="decimal"/>
      <w:suff w:val="nothing"/>
      <w:lvlText w:val="（%1）"/>
      <w:lvlJc w:val="left"/>
      <w:pPr>
        <w:ind w:left="0" w:firstLine="0"/>
      </w:pPr>
      <w:rPr>
        <w:b w:val="0"/>
        <w:bCs w:val="0"/>
      </w:rPr>
    </w:lvl>
    <w:lvl w:ilvl="1" w:tentative="0">
      <w:start w:val="6"/>
      <w:numFmt w:val="decimal"/>
      <w:lvlText w:val="%2）"/>
      <w:lvlJc w:val="left"/>
      <w:pPr>
        <w:ind w:left="998" w:hanging="720"/>
      </w:pPr>
    </w:lvl>
    <w:lvl w:ilvl="2" w:tentative="0">
      <w:start w:val="1"/>
      <w:numFmt w:val="lowerRoman"/>
      <w:lvlText w:val="%3."/>
      <w:lvlJc w:val="right"/>
      <w:pPr>
        <w:ind w:left="1118" w:hanging="420"/>
      </w:pPr>
    </w:lvl>
    <w:lvl w:ilvl="3" w:tentative="0">
      <w:start w:val="1"/>
      <w:numFmt w:val="decimal"/>
      <w:lvlText w:val="%4."/>
      <w:lvlJc w:val="left"/>
      <w:pPr>
        <w:ind w:left="1538" w:hanging="420"/>
      </w:pPr>
    </w:lvl>
    <w:lvl w:ilvl="4" w:tentative="0">
      <w:start w:val="1"/>
      <w:numFmt w:val="lowerLetter"/>
      <w:lvlText w:val="%5)"/>
      <w:lvlJc w:val="left"/>
      <w:pPr>
        <w:ind w:left="1958" w:hanging="420"/>
      </w:pPr>
    </w:lvl>
    <w:lvl w:ilvl="5" w:tentative="0">
      <w:start w:val="1"/>
      <w:numFmt w:val="lowerRoman"/>
      <w:lvlText w:val="%6."/>
      <w:lvlJc w:val="right"/>
      <w:pPr>
        <w:ind w:left="2378" w:hanging="420"/>
      </w:pPr>
    </w:lvl>
    <w:lvl w:ilvl="6" w:tentative="0">
      <w:start w:val="1"/>
      <w:numFmt w:val="decimal"/>
      <w:lvlText w:val="%7."/>
      <w:lvlJc w:val="left"/>
      <w:pPr>
        <w:ind w:left="2798" w:hanging="420"/>
      </w:pPr>
    </w:lvl>
    <w:lvl w:ilvl="7" w:tentative="0">
      <w:start w:val="1"/>
      <w:numFmt w:val="lowerLetter"/>
      <w:lvlText w:val="%8)"/>
      <w:lvlJc w:val="left"/>
      <w:pPr>
        <w:ind w:left="3218" w:hanging="420"/>
      </w:pPr>
    </w:lvl>
    <w:lvl w:ilvl="8" w:tentative="0">
      <w:start w:val="1"/>
      <w:numFmt w:val="lowerRoman"/>
      <w:lvlText w:val="%9."/>
      <w:lvlJc w:val="right"/>
      <w:pPr>
        <w:ind w:left="3638" w:hanging="420"/>
      </w:pPr>
    </w:lvl>
  </w:abstractNum>
  <w:num w:numId="1">
    <w:abstractNumId w:val="1"/>
  </w:num>
  <w:num w:numId="2">
    <w:abstractNumId w:val="0"/>
  </w:num>
  <w:num w:numId="3">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hYTRhMTg0MmZjZjFhNTBhNmU3YzkzNzAwYzcyOWIifQ=="/>
  </w:docVars>
  <w:rsids>
    <w:rsidRoot w:val="00751B04"/>
    <w:rsid w:val="00001D8D"/>
    <w:rsid w:val="00001DCB"/>
    <w:rsid w:val="00011B8F"/>
    <w:rsid w:val="00011E8C"/>
    <w:rsid w:val="00013E0D"/>
    <w:rsid w:val="00016470"/>
    <w:rsid w:val="00016A27"/>
    <w:rsid w:val="00025060"/>
    <w:rsid w:val="00030AF1"/>
    <w:rsid w:val="00030FE8"/>
    <w:rsid w:val="0003242B"/>
    <w:rsid w:val="000352B9"/>
    <w:rsid w:val="000574C3"/>
    <w:rsid w:val="000606DA"/>
    <w:rsid w:val="00061E0C"/>
    <w:rsid w:val="00063318"/>
    <w:rsid w:val="000637F3"/>
    <w:rsid w:val="00071045"/>
    <w:rsid w:val="0008196A"/>
    <w:rsid w:val="00090E10"/>
    <w:rsid w:val="00097634"/>
    <w:rsid w:val="000A7BB0"/>
    <w:rsid w:val="000B02D2"/>
    <w:rsid w:val="000B2AEA"/>
    <w:rsid w:val="000B4A80"/>
    <w:rsid w:val="000B75D0"/>
    <w:rsid w:val="000C55FF"/>
    <w:rsid w:val="000D1026"/>
    <w:rsid w:val="000E2BD1"/>
    <w:rsid w:val="000E5621"/>
    <w:rsid w:val="000F133B"/>
    <w:rsid w:val="000F3812"/>
    <w:rsid w:val="000F5477"/>
    <w:rsid w:val="001058CD"/>
    <w:rsid w:val="0010791F"/>
    <w:rsid w:val="001172B1"/>
    <w:rsid w:val="0012786A"/>
    <w:rsid w:val="00132C0B"/>
    <w:rsid w:val="00134F22"/>
    <w:rsid w:val="001512A0"/>
    <w:rsid w:val="00152A61"/>
    <w:rsid w:val="00157848"/>
    <w:rsid w:val="001632DA"/>
    <w:rsid w:val="00183B3D"/>
    <w:rsid w:val="00191805"/>
    <w:rsid w:val="001948D1"/>
    <w:rsid w:val="001966D8"/>
    <w:rsid w:val="001A1C7D"/>
    <w:rsid w:val="001B1A28"/>
    <w:rsid w:val="001C1428"/>
    <w:rsid w:val="001C4DFE"/>
    <w:rsid w:val="001D10BC"/>
    <w:rsid w:val="001D37FD"/>
    <w:rsid w:val="002012C9"/>
    <w:rsid w:val="00210E82"/>
    <w:rsid w:val="00213389"/>
    <w:rsid w:val="0023582A"/>
    <w:rsid w:val="00235BCE"/>
    <w:rsid w:val="00237DF8"/>
    <w:rsid w:val="00242245"/>
    <w:rsid w:val="00243FA3"/>
    <w:rsid w:val="00260496"/>
    <w:rsid w:val="00262EDD"/>
    <w:rsid w:val="00263B16"/>
    <w:rsid w:val="00273D72"/>
    <w:rsid w:val="00282338"/>
    <w:rsid w:val="0028676B"/>
    <w:rsid w:val="002B3C1B"/>
    <w:rsid w:val="002D2A19"/>
    <w:rsid w:val="002D2CA4"/>
    <w:rsid w:val="002D2DD8"/>
    <w:rsid w:val="002D4548"/>
    <w:rsid w:val="002E035B"/>
    <w:rsid w:val="00303F47"/>
    <w:rsid w:val="00306289"/>
    <w:rsid w:val="003135E6"/>
    <w:rsid w:val="003137B7"/>
    <w:rsid w:val="00331A72"/>
    <w:rsid w:val="003375AA"/>
    <w:rsid w:val="003448CA"/>
    <w:rsid w:val="003468CC"/>
    <w:rsid w:val="00352E1B"/>
    <w:rsid w:val="00353416"/>
    <w:rsid w:val="00370459"/>
    <w:rsid w:val="00382E22"/>
    <w:rsid w:val="00385153"/>
    <w:rsid w:val="003A0F06"/>
    <w:rsid w:val="003A5AD2"/>
    <w:rsid w:val="003B5221"/>
    <w:rsid w:val="003C0721"/>
    <w:rsid w:val="003C1762"/>
    <w:rsid w:val="003D20CE"/>
    <w:rsid w:val="003D7243"/>
    <w:rsid w:val="00417DE6"/>
    <w:rsid w:val="00424A49"/>
    <w:rsid w:val="00426476"/>
    <w:rsid w:val="004264D6"/>
    <w:rsid w:val="00446D34"/>
    <w:rsid w:val="00451953"/>
    <w:rsid w:val="004616E0"/>
    <w:rsid w:val="00465CF0"/>
    <w:rsid w:val="0047791B"/>
    <w:rsid w:val="00481091"/>
    <w:rsid w:val="00492D9A"/>
    <w:rsid w:val="004931B7"/>
    <w:rsid w:val="00494062"/>
    <w:rsid w:val="004949F2"/>
    <w:rsid w:val="00495ABF"/>
    <w:rsid w:val="004A11CD"/>
    <w:rsid w:val="004B2535"/>
    <w:rsid w:val="004C00E3"/>
    <w:rsid w:val="004D5B64"/>
    <w:rsid w:val="004E19F4"/>
    <w:rsid w:val="004E2F0B"/>
    <w:rsid w:val="004E5AF6"/>
    <w:rsid w:val="00506E8E"/>
    <w:rsid w:val="00512194"/>
    <w:rsid w:val="00514CC7"/>
    <w:rsid w:val="00524070"/>
    <w:rsid w:val="00532B1A"/>
    <w:rsid w:val="00540317"/>
    <w:rsid w:val="00546508"/>
    <w:rsid w:val="0054662D"/>
    <w:rsid w:val="00553B90"/>
    <w:rsid w:val="005632F6"/>
    <w:rsid w:val="005716EB"/>
    <w:rsid w:val="00574B1B"/>
    <w:rsid w:val="00577082"/>
    <w:rsid w:val="00582E31"/>
    <w:rsid w:val="00583FDB"/>
    <w:rsid w:val="00586D52"/>
    <w:rsid w:val="00591EE7"/>
    <w:rsid w:val="005942D2"/>
    <w:rsid w:val="005944A5"/>
    <w:rsid w:val="005A146F"/>
    <w:rsid w:val="005A2E1A"/>
    <w:rsid w:val="005A6CFC"/>
    <w:rsid w:val="005E474C"/>
    <w:rsid w:val="005E5D95"/>
    <w:rsid w:val="005E7168"/>
    <w:rsid w:val="00601264"/>
    <w:rsid w:val="00611C4F"/>
    <w:rsid w:val="0063093F"/>
    <w:rsid w:val="00634EDD"/>
    <w:rsid w:val="00654198"/>
    <w:rsid w:val="00674B9C"/>
    <w:rsid w:val="00685FEA"/>
    <w:rsid w:val="006951BB"/>
    <w:rsid w:val="006A2505"/>
    <w:rsid w:val="006A3A55"/>
    <w:rsid w:val="006B0453"/>
    <w:rsid w:val="006B5653"/>
    <w:rsid w:val="006B7F51"/>
    <w:rsid w:val="006D0D45"/>
    <w:rsid w:val="006E4429"/>
    <w:rsid w:val="006F6485"/>
    <w:rsid w:val="0070050A"/>
    <w:rsid w:val="00701364"/>
    <w:rsid w:val="0071052B"/>
    <w:rsid w:val="0072189B"/>
    <w:rsid w:val="00726779"/>
    <w:rsid w:val="007269BC"/>
    <w:rsid w:val="007365A7"/>
    <w:rsid w:val="00742EB6"/>
    <w:rsid w:val="007431E0"/>
    <w:rsid w:val="007456D3"/>
    <w:rsid w:val="007476F3"/>
    <w:rsid w:val="00751B04"/>
    <w:rsid w:val="007573B1"/>
    <w:rsid w:val="00761DB2"/>
    <w:rsid w:val="00762ADB"/>
    <w:rsid w:val="00762D81"/>
    <w:rsid w:val="00765C32"/>
    <w:rsid w:val="00770B2D"/>
    <w:rsid w:val="007817C1"/>
    <w:rsid w:val="00782573"/>
    <w:rsid w:val="00787A10"/>
    <w:rsid w:val="00791F80"/>
    <w:rsid w:val="00793A25"/>
    <w:rsid w:val="007A6ACB"/>
    <w:rsid w:val="007E299A"/>
    <w:rsid w:val="007F5F29"/>
    <w:rsid w:val="00806546"/>
    <w:rsid w:val="00813331"/>
    <w:rsid w:val="00817D94"/>
    <w:rsid w:val="00832CC9"/>
    <w:rsid w:val="008350CF"/>
    <w:rsid w:val="00842224"/>
    <w:rsid w:val="0086357D"/>
    <w:rsid w:val="008739F2"/>
    <w:rsid w:val="00881592"/>
    <w:rsid w:val="00891D80"/>
    <w:rsid w:val="008960C9"/>
    <w:rsid w:val="008A7B59"/>
    <w:rsid w:val="008B2640"/>
    <w:rsid w:val="008D5906"/>
    <w:rsid w:val="008D7D3E"/>
    <w:rsid w:val="008E10DE"/>
    <w:rsid w:val="008E4166"/>
    <w:rsid w:val="008F32E5"/>
    <w:rsid w:val="00905191"/>
    <w:rsid w:val="00913E2C"/>
    <w:rsid w:val="009403B5"/>
    <w:rsid w:val="0094161B"/>
    <w:rsid w:val="0095072A"/>
    <w:rsid w:val="00950D44"/>
    <w:rsid w:val="00956811"/>
    <w:rsid w:val="00962284"/>
    <w:rsid w:val="00965C3E"/>
    <w:rsid w:val="00966857"/>
    <w:rsid w:val="00973060"/>
    <w:rsid w:val="0097750A"/>
    <w:rsid w:val="0098113A"/>
    <w:rsid w:val="00985D5B"/>
    <w:rsid w:val="009872E6"/>
    <w:rsid w:val="009B43C0"/>
    <w:rsid w:val="009B43EF"/>
    <w:rsid w:val="009B5182"/>
    <w:rsid w:val="009B52EF"/>
    <w:rsid w:val="009C3C1E"/>
    <w:rsid w:val="009D6F63"/>
    <w:rsid w:val="00A0355A"/>
    <w:rsid w:val="00A277D5"/>
    <w:rsid w:val="00A352DF"/>
    <w:rsid w:val="00A40241"/>
    <w:rsid w:val="00A415C6"/>
    <w:rsid w:val="00A449ED"/>
    <w:rsid w:val="00A57D9A"/>
    <w:rsid w:val="00A66638"/>
    <w:rsid w:val="00A73500"/>
    <w:rsid w:val="00A85C54"/>
    <w:rsid w:val="00A96B24"/>
    <w:rsid w:val="00A979E6"/>
    <w:rsid w:val="00AA3D98"/>
    <w:rsid w:val="00AA7743"/>
    <w:rsid w:val="00AB6D9D"/>
    <w:rsid w:val="00AC7BCF"/>
    <w:rsid w:val="00AF74BF"/>
    <w:rsid w:val="00B0214D"/>
    <w:rsid w:val="00B0540E"/>
    <w:rsid w:val="00B12DEA"/>
    <w:rsid w:val="00B151B7"/>
    <w:rsid w:val="00B464FA"/>
    <w:rsid w:val="00B53C58"/>
    <w:rsid w:val="00B5767A"/>
    <w:rsid w:val="00B61D50"/>
    <w:rsid w:val="00B65843"/>
    <w:rsid w:val="00B75961"/>
    <w:rsid w:val="00B763D2"/>
    <w:rsid w:val="00B97430"/>
    <w:rsid w:val="00BA2F4B"/>
    <w:rsid w:val="00BA3C24"/>
    <w:rsid w:val="00BB46B0"/>
    <w:rsid w:val="00BB480D"/>
    <w:rsid w:val="00BC2C0C"/>
    <w:rsid w:val="00BC68DC"/>
    <w:rsid w:val="00BF7CA1"/>
    <w:rsid w:val="00C02945"/>
    <w:rsid w:val="00C14054"/>
    <w:rsid w:val="00C2275D"/>
    <w:rsid w:val="00C230A3"/>
    <w:rsid w:val="00C268E7"/>
    <w:rsid w:val="00C34BB0"/>
    <w:rsid w:val="00C35416"/>
    <w:rsid w:val="00C516A7"/>
    <w:rsid w:val="00C808A7"/>
    <w:rsid w:val="00C94234"/>
    <w:rsid w:val="00C969B4"/>
    <w:rsid w:val="00CA1F44"/>
    <w:rsid w:val="00CB7606"/>
    <w:rsid w:val="00CC3BF1"/>
    <w:rsid w:val="00CD2BAA"/>
    <w:rsid w:val="00CD4C0D"/>
    <w:rsid w:val="00CD5612"/>
    <w:rsid w:val="00CE04FE"/>
    <w:rsid w:val="00CE3DB6"/>
    <w:rsid w:val="00CE4D57"/>
    <w:rsid w:val="00CE61B7"/>
    <w:rsid w:val="00CE789C"/>
    <w:rsid w:val="00D1344A"/>
    <w:rsid w:val="00D317B2"/>
    <w:rsid w:val="00D35A4D"/>
    <w:rsid w:val="00D37229"/>
    <w:rsid w:val="00D57771"/>
    <w:rsid w:val="00D94AEE"/>
    <w:rsid w:val="00DB4FF7"/>
    <w:rsid w:val="00DB6B6D"/>
    <w:rsid w:val="00DD0872"/>
    <w:rsid w:val="00DE6596"/>
    <w:rsid w:val="00DE7DBE"/>
    <w:rsid w:val="00DF3248"/>
    <w:rsid w:val="00DF5378"/>
    <w:rsid w:val="00E022A8"/>
    <w:rsid w:val="00E1153D"/>
    <w:rsid w:val="00E14740"/>
    <w:rsid w:val="00E3088D"/>
    <w:rsid w:val="00E347B9"/>
    <w:rsid w:val="00E40A87"/>
    <w:rsid w:val="00E41DB4"/>
    <w:rsid w:val="00E42C55"/>
    <w:rsid w:val="00E47A7F"/>
    <w:rsid w:val="00E7647B"/>
    <w:rsid w:val="00E9769E"/>
    <w:rsid w:val="00E97BF8"/>
    <w:rsid w:val="00EA4A74"/>
    <w:rsid w:val="00EA6C53"/>
    <w:rsid w:val="00EB16BC"/>
    <w:rsid w:val="00EB5D17"/>
    <w:rsid w:val="00EB6285"/>
    <w:rsid w:val="00ED7E26"/>
    <w:rsid w:val="00EE5198"/>
    <w:rsid w:val="00EF1B70"/>
    <w:rsid w:val="00EF5E3F"/>
    <w:rsid w:val="00F105BE"/>
    <w:rsid w:val="00F12A2F"/>
    <w:rsid w:val="00F21D36"/>
    <w:rsid w:val="00F22286"/>
    <w:rsid w:val="00F43A01"/>
    <w:rsid w:val="00F528EF"/>
    <w:rsid w:val="00F72802"/>
    <w:rsid w:val="00F72E1C"/>
    <w:rsid w:val="00F7394F"/>
    <w:rsid w:val="00F7730B"/>
    <w:rsid w:val="00F87473"/>
    <w:rsid w:val="00FA1A18"/>
    <w:rsid w:val="00FB5C50"/>
    <w:rsid w:val="00FB68AB"/>
    <w:rsid w:val="00FC2102"/>
    <w:rsid w:val="00FC76A0"/>
    <w:rsid w:val="00FD0DD7"/>
    <w:rsid w:val="00FD36A8"/>
    <w:rsid w:val="00FE5A50"/>
    <w:rsid w:val="00FF47AD"/>
    <w:rsid w:val="028631A1"/>
    <w:rsid w:val="04797EB0"/>
    <w:rsid w:val="05CE2BC4"/>
    <w:rsid w:val="073F05EA"/>
    <w:rsid w:val="092D2BE1"/>
    <w:rsid w:val="0CD16397"/>
    <w:rsid w:val="0DC85CE6"/>
    <w:rsid w:val="117A5014"/>
    <w:rsid w:val="151C0C6D"/>
    <w:rsid w:val="15F50F90"/>
    <w:rsid w:val="17205029"/>
    <w:rsid w:val="187910DC"/>
    <w:rsid w:val="19FF45B0"/>
    <w:rsid w:val="1C66512C"/>
    <w:rsid w:val="1DCC210C"/>
    <w:rsid w:val="20D16A64"/>
    <w:rsid w:val="22005063"/>
    <w:rsid w:val="229C18CF"/>
    <w:rsid w:val="25057EC7"/>
    <w:rsid w:val="2CB607EE"/>
    <w:rsid w:val="342B34CF"/>
    <w:rsid w:val="342C340B"/>
    <w:rsid w:val="345033AD"/>
    <w:rsid w:val="345C44DA"/>
    <w:rsid w:val="358C5E42"/>
    <w:rsid w:val="36253334"/>
    <w:rsid w:val="393148B3"/>
    <w:rsid w:val="39C345A2"/>
    <w:rsid w:val="3EEF7EEB"/>
    <w:rsid w:val="3F14541A"/>
    <w:rsid w:val="3FA35E78"/>
    <w:rsid w:val="40CD3C88"/>
    <w:rsid w:val="444255B6"/>
    <w:rsid w:val="44D80E26"/>
    <w:rsid w:val="470C5306"/>
    <w:rsid w:val="47BD1B38"/>
    <w:rsid w:val="48AE5C27"/>
    <w:rsid w:val="49237E9A"/>
    <w:rsid w:val="4DDF1176"/>
    <w:rsid w:val="52430FF8"/>
    <w:rsid w:val="5386283D"/>
    <w:rsid w:val="549A2107"/>
    <w:rsid w:val="56462A0F"/>
    <w:rsid w:val="5C0D4BA3"/>
    <w:rsid w:val="5D0A20C9"/>
    <w:rsid w:val="6B690072"/>
    <w:rsid w:val="6E4808DB"/>
    <w:rsid w:val="6FC928A5"/>
    <w:rsid w:val="72867449"/>
    <w:rsid w:val="74197B40"/>
    <w:rsid w:val="74780E53"/>
    <w:rsid w:val="7B3B28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3"/>
    <w:qFormat/>
    <w:uiPriority w:val="9"/>
    <w:pPr>
      <w:keepNext/>
      <w:keepLines/>
      <w:numPr>
        <w:ilvl w:val="0"/>
        <w:numId w:val="1"/>
      </w:numPr>
      <w:spacing w:before="50" w:beforeLines="50" w:after="50" w:afterLines="50"/>
      <w:ind w:firstLineChars="0"/>
      <w:jc w:val="center"/>
      <w:outlineLvl w:val="0"/>
    </w:pPr>
    <w:rPr>
      <w:b/>
      <w:bCs/>
      <w:kern w:val="44"/>
      <w:sz w:val="32"/>
      <w:szCs w:val="44"/>
    </w:rPr>
  </w:style>
  <w:style w:type="paragraph" w:styleId="3">
    <w:name w:val="heading 2"/>
    <w:basedOn w:val="1"/>
    <w:next w:val="1"/>
    <w:link w:val="24"/>
    <w:unhideWhenUsed/>
    <w:qFormat/>
    <w:uiPriority w:val="9"/>
    <w:pPr>
      <w:keepNext/>
      <w:keepLines/>
      <w:numPr>
        <w:ilvl w:val="1"/>
        <w:numId w:val="1"/>
      </w:numPr>
      <w:spacing w:before="50" w:beforeLines="50" w:after="50" w:afterLines="50"/>
      <w:ind w:firstLine="200"/>
      <w:outlineLvl w:val="1"/>
    </w:pPr>
    <w:rPr>
      <w:rFonts w:cstheme="majorBidi"/>
      <w:b/>
      <w:bCs/>
      <w:color w:val="FF6600"/>
      <w:sz w:val="30"/>
      <w:szCs w:val="32"/>
    </w:rPr>
  </w:style>
  <w:style w:type="paragraph" w:styleId="4">
    <w:name w:val="heading 3"/>
    <w:basedOn w:val="1"/>
    <w:next w:val="1"/>
    <w:link w:val="25"/>
    <w:unhideWhenUsed/>
    <w:qFormat/>
    <w:uiPriority w:val="9"/>
    <w:pPr>
      <w:keepNext/>
      <w:keepLines/>
      <w:numPr>
        <w:ilvl w:val="2"/>
        <w:numId w:val="1"/>
      </w:numPr>
      <w:spacing w:before="50" w:beforeLines="50" w:after="50" w:afterLines="50"/>
      <w:ind w:firstLine="200"/>
      <w:outlineLvl w:val="2"/>
    </w:pPr>
    <w:rPr>
      <w:bCs/>
      <w:color w:val="0066FF"/>
      <w:sz w:val="28"/>
      <w:szCs w:val="32"/>
    </w:rPr>
  </w:style>
  <w:style w:type="paragraph" w:styleId="5">
    <w:name w:val="heading 4"/>
    <w:basedOn w:val="1"/>
    <w:next w:val="1"/>
    <w:link w:val="26"/>
    <w:unhideWhenUsed/>
    <w:qFormat/>
    <w:uiPriority w:val="9"/>
    <w:pPr>
      <w:keepNext/>
      <w:keepLines/>
      <w:numPr>
        <w:ilvl w:val="3"/>
        <w:numId w:val="1"/>
      </w:numPr>
      <w:spacing w:before="10" w:after="10" w:line="377" w:lineRule="auto"/>
      <w:ind w:firstLine="200"/>
      <w:outlineLvl w:val="3"/>
    </w:pPr>
    <w:rPr>
      <w:rFonts w:cstheme="majorBidi"/>
      <w:b/>
      <w:bCs/>
      <w:color w:val="00CC00"/>
      <w:szCs w:val="28"/>
    </w:rPr>
  </w:style>
  <w:style w:type="paragraph" w:styleId="6">
    <w:name w:val="heading 6"/>
    <w:basedOn w:val="1"/>
    <w:next w:val="1"/>
    <w:link w:val="34"/>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5"/>
    <w:semiHidden/>
    <w:unhideWhenUsed/>
    <w:qFormat/>
    <w:uiPriority w:val="99"/>
    <w:pPr>
      <w:jc w:val="left"/>
    </w:pPr>
  </w:style>
  <w:style w:type="paragraph" w:styleId="8">
    <w:name w:val="Body Text"/>
    <w:basedOn w:val="1"/>
    <w:link w:val="48"/>
    <w:semiHidden/>
    <w:unhideWhenUsed/>
    <w:qFormat/>
    <w:uiPriority w:val="0"/>
    <w:pPr>
      <w:suppressAutoHyphens/>
      <w:adjustRightInd w:val="0"/>
      <w:spacing w:line="312" w:lineRule="auto"/>
      <w:ind w:firstLine="0" w:firstLineChars="0"/>
      <w:jc w:val="left"/>
    </w:pPr>
    <w:rPr>
      <w:rFonts w:cs="Times New Roman"/>
      <w:spacing w:val="-4"/>
      <w:kern w:val="0"/>
      <w:szCs w:val="20"/>
    </w:rPr>
  </w:style>
  <w:style w:type="paragraph" w:styleId="9">
    <w:name w:val="toc 3"/>
    <w:basedOn w:val="1"/>
    <w:next w:val="1"/>
    <w:unhideWhenUsed/>
    <w:qFormat/>
    <w:uiPriority w:val="39"/>
    <w:pPr>
      <w:ind w:left="840" w:leftChars="400"/>
    </w:pPr>
  </w:style>
  <w:style w:type="paragraph" w:styleId="10">
    <w:name w:val="Plain Text"/>
    <w:basedOn w:val="1"/>
    <w:link w:val="55"/>
    <w:qFormat/>
    <w:uiPriority w:val="0"/>
    <w:pPr>
      <w:spacing w:line="240" w:lineRule="auto"/>
      <w:ind w:firstLine="0" w:firstLineChars="0"/>
    </w:pPr>
    <w:rPr>
      <w:rFonts w:hint="eastAsia" w:ascii="宋体" w:hAnsi="Courier New" w:cs="Courier New"/>
      <w:sz w:val="21"/>
      <w:szCs w:val="21"/>
    </w:rPr>
  </w:style>
  <w:style w:type="paragraph" w:styleId="11">
    <w:name w:val="Balloon Text"/>
    <w:basedOn w:val="1"/>
    <w:link w:val="29"/>
    <w:semiHidden/>
    <w:unhideWhenUsed/>
    <w:qFormat/>
    <w:uiPriority w:val="99"/>
    <w:pPr>
      <w:spacing w:line="240" w:lineRule="auto"/>
    </w:pPr>
    <w:rPr>
      <w:sz w:val="18"/>
      <w:szCs w:val="18"/>
    </w:rPr>
  </w:style>
  <w:style w:type="paragraph" w:styleId="12">
    <w:name w:val="footer"/>
    <w:basedOn w:val="1"/>
    <w:link w:val="28"/>
    <w:unhideWhenUsed/>
    <w:qFormat/>
    <w:uiPriority w:val="99"/>
    <w:pPr>
      <w:tabs>
        <w:tab w:val="center" w:pos="4153"/>
        <w:tab w:val="right" w:pos="8306"/>
      </w:tabs>
      <w:snapToGrid w:val="0"/>
      <w:spacing w:line="240" w:lineRule="auto"/>
      <w:jc w:val="left"/>
    </w:pPr>
    <w:rPr>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annotation subject"/>
    <w:basedOn w:val="7"/>
    <w:next w:val="7"/>
    <w:link w:val="46"/>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21"/>
      <w:szCs w:val="21"/>
    </w:rPr>
  </w:style>
  <w:style w:type="character" w:customStyle="1" w:styleId="23">
    <w:name w:val="标题 1 字符"/>
    <w:basedOn w:val="19"/>
    <w:link w:val="2"/>
    <w:qFormat/>
    <w:uiPriority w:val="9"/>
    <w:rPr>
      <w:rFonts w:ascii="Times New Roman" w:hAnsi="Times New Roman" w:eastAsia="宋体"/>
      <w:b/>
      <w:bCs/>
      <w:kern w:val="44"/>
      <w:sz w:val="32"/>
      <w:szCs w:val="44"/>
    </w:rPr>
  </w:style>
  <w:style w:type="character" w:customStyle="1" w:styleId="24">
    <w:name w:val="标题 2 字符"/>
    <w:basedOn w:val="19"/>
    <w:link w:val="3"/>
    <w:qFormat/>
    <w:uiPriority w:val="9"/>
    <w:rPr>
      <w:rFonts w:ascii="Times New Roman" w:hAnsi="Times New Roman" w:eastAsia="宋体" w:cstheme="majorBidi"/>
      <w:b/>
      <w:bCs/>
      <w:color w:val="FF6600"/>
      <w:sz w:val="30"/>
      <w:szCs w:val="32"/>
    </w:rPr>
  </w:style>
  <w:style w:type="character" w:customStyle="1" w:styleId="25">
    <w:name w:val="标题 3 字符"/>
    <w:basedOn w:val="19"/>
    <w:link w:val="4"/>
    <w:qFormat/>
    <w:uiPriority w:val="9"/>
    <w:rPr>
      <w:rFonts w:ascii="Times New Roman" w:hAnsi="Times New Roman" w:eastAsia="宋体"/>
      <w:bCs/>
      <w:color w:val="0066FF"/>
      <w:sz w:val="28"/>
      <w:szCs w:val="32"/>
    </w:rPr>
  </w:style>
  <w:style w:type="character" w:customStyle="1" w:styleId="26">
    <w:name w:val="标题 4 字符"/>
    <w:basedOn w:val="19"/>
    <w:link w:val="5"/>
    <w:qFormat/>
    <w:uiPriority w:val="9"/>
    <w:rPr>
      <w:rFonts w:ascii="Times New Roman" w:hAnsi="Times New Roman" w:eastAsia="宋体" w:cstheme="majorBidi"/>
      <w:b/>
      <w:bCs/>
      <w:color w:val="00CC00"/>
      <w:sz w:val="24"/>
      <w:szCs w:val="28"/>
    </w:rPr>
  </w:style>
  <w:style w:type="character" w:customStyle="1" w:styleId="27">
    <w:name w:val="页眉 字符"/>
    <w:basedOn w:val="19"/>
    <w:link w:val="13"/>
    <w:qFormat/>
    <w:uiPriority w:val="99"/>
    <w:rPr>
      <w:rFonts w:ascii="Times New Roman" w:hAnsi="Times New Roman" w:eastAsia="宋体"/>
      <w:sz w:val="18"/>
      <w:szCs w:val="18"/>
    </w:rPr>
  </w:style>
  <w:style w:type="character" w:customStyle="1" w:styleId="28">
    <w:name w:val="页脚 字符"/>
    <w:basedOn w:val="19"/>
    <w:link w:val="12"/>
    <w:qFormat/>
    <w:uiPriority w:val="99"/>
    <w:rPr>
      <w:rFonts w:ascii="Times New Roman" w:hAnsi="Times New Roman" w:eastAsia="宋体"/>
      <w:sz w:val="18"/>
      <w:szCs w:val="18"/>
    </w:rPr>
  </w:style>
  <w:style w:type="character" w:customStyle="1" w:styleId="29">
    <w:name w:val="批注框文本 字符"/>
    <w:basedOn w:val="19"/>
    <w:link w:val="11"/>
    <w:semiHidden/>
    <w:qFormat/>
    <w:uiPriority w:val="99"/>
    <w:rPr>
      <w:rFonts w:ascii="Times New Roman" w:hAnsi="Times New Roman" w:eastAsia="宋体"/>
      <w:sz w:val="18"/>
      <w:szCs w:val="18"/>
    </w:rPr>
  </w:style>
  <w:style w:type="paragraph" w:styleId="30">
    <w:name w:val="List Paragraph"/>
    <w:basedOn w:val="1"/>
    <w:qFormat/>
    <w:uiPriority w:val="34"/>
    <w:pPr>
      <w:ind w:firstLine="420"/>
    </w:pPr>
  </w:style>
  <w:style w:type="paragraph" w:customStyle="1" w:styleId="31">
    <w:name w:val="TOC 标题1"/>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paragraph" w:customStyle="1" w:styleId="32">
    <w:name w:val="（1）"/>
    <w:basedOn w:val="1"/>
    <w:link w:val="33"/>
    <w:qFormat/>
    <w:uiPriority w:val="0"/>
    <w:pPr>
      <w:numPr>
        <w:ilvl w:val="0"/>
        <w:numId w:val="2"/>
      </w:numPr>
      <w:ind w:left="480" w:hanging="480" w:hangingChars="200"/>
      <w:contextualSpacing/>
    </w:pPr>
  </w:style>
  <w:style w:type="character" w:customStyle="1" w:styleId="33">
    <w:name w:val="（1） 字符"/>
    <w:basedOn w:val="19"/>
    <w:link w:val="32"/>
    <w:qFormat/>
    <w:uiPriority w:val="0"/>
    <w:rPr>
      <w:rFonts w:ascii="Times New Roman" w:hAnsi="Times New Roman" w:eastAsia="宋体"/>
      <w:sz w:val="24"/>
    </w:rPr>
  </w:style>
  <w:style w:type="character" w:customStyle="1" w:styleId="34">
    <w:name w:val="标题 6 字符"/>
    <w:basedOn w:val="19"/>
    <w:link w:val="6"/>
    <w:semiHidden/>
    <w:qFormat/>
    <w:uiPriority w:val="9"/>
    <w:rPr>
      <w:rFonts w:asciiTheme="majorHAnsi" w:hAnsiTheme="majorHAnsi" w:eastAsiaTheme="majorEastAsia" w:cstheme="majorBidi"/>
      <w:b/>
      <w:bCs/>
      <w:sz w:val="24"/>
      <w:szCs w:val="24"/>
    </w:rPr>
  </w:style>
  <w:style w:type="paragraph" w:customStyle="1" w:styleId="35">
    <w:name w:val="表头"/>
    <w:basedOn w:val="1"/>
    <w:qFormat/>
    <w:uiPriority w:val="0"/>
    <w:pPr>
      <w:spacing w:before="50" w:beforeLines="50" w:after="50" w:afterLines="50" w:line="240" w:lineRule="auto"/>
      <w:ind w:firstLine="0" w:firstLineChars="0"/>
      <w:jc w:val="center"/>
    </w:pPr>
    <w:rPr>
      <w:rFonts w:ascii="宋体" w:hAnsi="宋体" w:cs="宋体"/>
      <w:b/>
      <w:snapToGrid w:val="0"/>
      <w:kern w:val="0"/>
      <w:sz w:val="21"/>
      <w:szCs w:val="24"/>
    </w:rPr>
  </w:style>
  <w:style w:type="paragraph" w:customStyle="1" w:styleId="36">
    <w:name w:val="表格"/>
    <w:link w:val="37"/>
    <w:qFormat/>
    <w:uiPriority w:val="0"/>
    <w:pPr>
      <w:widowControl w:val="0"/>
      <w:adjustRightInd w:val="0"/>
      <w:spacing w:line="360" w:lineRule="auto"/>
      <w:jc w:val="center"/>
    </w:pPr>
    <w:rPr>
      <w:rFonts w:ascii="宋体" w:hAnsi="Times New Roman" w:eastAsia="宋体" w:cs="Times New Roman"/>
      <w:sz w:val="21"/>
      <w:lang w:val="en-US" w:eastAsia="zh-CN" w:bidi="ar-SA"/>
    </w:rPr>
  </w:style>
  <w:style w:type="character" w:customStyle="1" w:styleId="37">
    <w:name w:val="表格 Char"/>
    <w:link w:val="36"/>
    <w:qFormat/>
    <w:locked/>
    <w:uiPriority w:val="0"/>
    <w:rPr>
      <w:rFonts w:ascii="宋体" w:hAnsi="Times New Roman" w:eastAsia="宋体" w:cs="Times New Roman"/>
      <w:kern w:val="0"/>
      <w:szCs w:val="20"/>
    </w:rPr>
  </w:style>
  <w:style w:type="paragraph" w:customStyle="1" w:styleId="38">
    <w:name w:val="正文2"/>
    <w:basedOn w:val="1"/>
    <w:link w:val="39"/>
    <w:qFormat/>
    <w:uiPriority w:val="0"/>
    <w:rPr>
      <w:rFonts w:ascii="宋体" w:hAnsi="宋体" w:cs="Times New Roman"/>
      <w:szCs w:val="24"/>
    </w:rPr>
  </w:style>
  <w:style w:type="character" w:customStyle="1" w:styleId="39">
    <w:name w:val="正文2 字符"/>
    <w:link w:val="38"/>
    <w:qFormat/>
    <w:uiPriority w:val="0"/>
    <w:rPr>
      <w:rFonts w:ascii="宋体" w:hAnsi="宋体" w:eastAsia="宋体" w:cs="Times New Roman"/>
      <w:sz w:val="24"/>
      <w:szCs w:val="24"/>
    </w:rPr>
  </w:style>
  <w:style w:type="character" w:customStyle="1" w:styleId="40">
    <w:name w:val="标准 正文 QJJ Char Char"/>
    <w:link w:val="41"/>
    <w:qFormat/>
    <w:uiPriority w:val="99"/>
    <w:rPr>
      <w:rFonts w:ascii="宋体" w:hAnsi="Arial"/>
      <w:spacing w:val="20"/>
      <w:sz w:val="24"/>
      <w:szCs w:val="24"/>
    </w:rPr>
  </w:style>
  <w:style w:type="paragraph" w:customStyle="1" w:styleId="41">
    <w:name w:val="标准 正文 QJJ"/>
    <w:basedOn w:val="1"/>
    <w:link w:val="40"/>
    <w:qFormat/>
    <w:uiPriority w:val="99"/>
    <w:pPr>
      <w:autoSpaceDE w:val="0"/>
      <w:autoSpaceDN w:val="0"/>
      <w:adjustRightInd w:val="0"/>
      <w:spacing w:line="520" w:lineRule="exact"/>
      <w:ind w:firstLine="480"/>
      <w:jc w:val="left"/>
    </w:pPr>
    <w:rPr>
      <w:rFonts w:ascii="宋体" w:hAnsi="Arial" w:eastAsiaTheme="minorEastAsia"/>
      <w:spacing w:val="20"/>
      <w:szCs w:val="24"/>
    </w:rPr>
  </w:style>
  <w:style w:type="paragraph" w:customStyle="1" w:styleId="42">
    <w:name w:val="图表"/>
    <w:basedOn w:val="1"/>
    <w:link w:val="43"/>
    <w:qFormat/>
    <w:uiPriority w:val="0"/>
    <w:pPr>
      <w:spacing w:line="240" w:lineRule="auto"/>
      <w:ind w:firstLine="0" w:firstLineChars="0"/>
      <w:jc w:val="center"/>
    </w:pPr>
  </w:style>
  <w:style w:type="character" w:customStyle="1" w:styleId="43">
    <w:name w:val="图表 字符"/>
    <w:basedOn w:val="19"/>
    <w:link w:val="42"/>
    <w:qFormat/>
    <w:uiPriority w:val="0"/>
    <w:rPr>
      <w:rFonts w:ascii="Times New Roman" w:hAnsi="Times New Roman" w:eastAsia="宋体"/>
      <w:sz w:val="24"/>
    </w:rPr>
  </w:style>
  <w:style w:type="table" w:customStyle="1" w:styleId="44">
    <w:name w:val="网格型1"/>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批注文字 字符"/>
    <w:basedOn w:val="19"/>
    <w:link w:val="7"/>
    <w:semiHidden/>
    <w:qFormat/>
    <w:uiPriority w:val="99"/>
    <w:rPr>
      <w:rFonts w:ascii="Times New Roman" w:hAnsi="Times New Roman" w:eastAsia="宋体"/>
      <w:sz w:val="24"/>
    </w:rPr>
  </w:style>
  <w:style w:type="character" w:customStyle="1" w:styleId="46">
    <w:name w:val="批注主题 字符"/>
    <w:basedOn w:val="45"/>
    <w:link w:val="16"/>
    <w:semiHidden/>
    <w:qFormat/>
    <w:uiPriority w:val="99"/>
    <w:rPr>
      <w:rFonts w:ascii="Times New Roman" w:hAnsi="Times New Roman" w:eastAsia="宋体"/>
      <w:b/>
      <w:bCs/>
      <w:sz w:val="24"/>
    </w:rPr>
  </w:style>
  <w:style w:type="character" w:customStyle="1" w:styleId="47">
    <w:name w:val="未处理的提及1"/>
    <w:basedOn w:val="19"/>
    <w:semiHidden/>
    <w:unhideWhenUsed/>
    <w:qFormat/>
    <w:uiPriority w:val="99"/>
    <w:rPr>
      <w:color w:val="605E5C"/>
      <w:shd w:val="clear" w:color="auto" w:fill="E1DFDD"/>
    </w:rPr>
  </w:style>
  <w:style w:type="character" w:customStyle="1" w:styleId="48">
    <w:name w:val="正文文本 字符"/>
    <w:basedOn w:val="19"/>
    <w:link w:val="8"/>
    <w:semiHidden/>
    <w:qFormat/>
    <w:uiPriority w:val="0"/>
    <w:rPr>
      <w:rFonts w:ascii="Times New Roman" w:hAnsi="Times New Roman" w:eastAsia="宋体" w:cs="Times New Roman"/>
      <w:spacing w:val="-4"/>
      <w:kern w:val="0"/>
      <w:sz w:val="24"/>
      <w:szCs w:val="20"/>
    </w:rPr>
  </w:style>
  <w:style w:type="character" w:customStyle="1" w:styleId="49">
    <w:name w:val="！正文 Char"/>
    <w:link w:val="50"/>
    <w:qFormat/>
    <w:locked/>
    <w:uiPriority w:val="0"/>
    <w:rPr>
      <w:rFonts w:ascii="Arial" w:hAnsi="Arial" w:cs="宋体"/>
      <w:sz w:val="24"/>
      <w:szCs w:val="24"/>
    </w:rPr>
  </w:style>
  <w:style w:type="paragraph" w:customStyle="1" w:styleId="50">
    <w:name w:val="！正文"/>
    <w:basedOn w:val="1"/>
    <w:link w:val="49"/>
    <w:qFormat/>
    <w:uiPriority w:val="0"/>
    <w:pPr>
      <w:ind w:firstLine="480"/>
    </w:pPr>
    <w:rPr>
      <w:rFonts w:ascii="Arial" w:hAnsi="Arial" w:cs="宋体" w:eastAsiaTheme="minorEastAsia"/>
      <w:szCs w:val="24"/>
    </w:rPr>
  </w:style>
  <w:style w:type="paragraph" w:customStyle="1" w:styleId="51">
    <w:name w:val="1、"/>
    <w:basedOn w:val="1"/>
    <w:link w:val="52"/>
    <w:qFormat/>
    <w:uiPriority w:val="0"/>
    <w:rPr>
      <w:sz w:val="28"/>
    </w:rPr>
  </w:style>
  <w:style w:type="character" w:customStyle="1" w:styleId="52">
    <w:name w:val="1、 字符"/>
    <w:basedOn w:val="19"/>
    <w:link w:val="51"/>
    <w:qFormat/>
    <w:uiPriority w:val="0"/>
    <w:rPr>
      <w:rFonts w:ascii="Times New Roman" w:hAnsi="Times New Roman" w:eastAsia="宋体"/>
      <w:sz w:val="28"/>
    </w:rPr>
  </w:style>
  <w:style w:type="paragraph" w:customStyle="1" w:styleId="53">
    <w:name w:val="表格，内容"/>
    <w:basedOn w:val="1"/>
    <w:qFormat/>
    <w:uiPriority w:val="0"/>
    <w:pPr>
      <w:spacing w:before="40" w:after="40" w:line="240" w:lineRule="exact"/>
      <w:ind w:firstLine="0" w:firstLineChars="0"/>
      <w:jc w:val="center"/>
    </w:pPr>
    <w:rPr>
      <w:rFonts w:ascii="宋体" w:cs="Times New Roman"/>
      <w:spacing w:val="6"/>
      <w:kern w:val="44"/>
      <w:sz w:val="21"/>
      <w:szCs w:val="24"/>
    </w:rPr>
  </w:style>
  <w:style w:type="table" w:customStyle="1" w:styleId="54">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55">
    <w:name w:val="纯文本 字符"/>
    <w:basedOn w:val="19"/>
    <w:link w:val="10"/>
    <w:qFormat/>
    <w:uiPriority w:val="0"/>
    <w:rPr>
      <w:rFonts w:ascii="宋体" w:hAnsi="Courier New" w:eastAsia="宋体" w:cs="Courier New"/>
      <w:szCs w:val="21"/>
    </w:rPr>
  </w:style>
  <w:style w:type="paragraph" w:customStyle="1" w:styleId="56">
    <w:name w:val="3eee"/>
    <w:basedOn w:val="1"/>
    <w:link w:val="57"/>
    <w:qFormat/>
    <w:uiPriority w:val="0"/>
    <w:pPr>
      <w:spacing w:line="440" w:lineRule="exact"/>
      <w:ind w:firstLine="480"/>
    </w:pPr>
    <w:rPr>
      <w:rFonts w:ascii="宋体" w:hAnsi="宋体" w:cs="宋体"/>
      <w:szCs w:val="24"/>
    </w:rPr>
  </w:style>
  <w:style w:type="character" w:customStyle="1" w:styleId="57">
    <w:name w:val="3eee Char"/>
    <w:basedOn w:val="19"/>
    <w:link w:val="56"/>
    <w:qFormat/>
    <w:uiPriority w:val="0"/>
    <w:rPr>
      <w:rFonts w:ascii="宋体" w:hAnsi="宋体" w:eastAsia="宋体" w:cs="宋体"/>
      <w:sz w:val="24"/>
      <w:szCs w:val="24"/>
    </w:rPr>
  </w:style>
  <w:style w:type="paragraph" w:customStyle="1" w:styleId="58">
    <w:name w:val="TOC Heading"/>
    <w:basedOn w:val="2"/>
    <w:next w:val="1"/>
    <w:semiHidden/>
    <w:unhideWhenUsed/>
    <w:qFormat/>
    <w:uiPriority w:val="39"/>
    <w:pPr>
      <w:numPr>
        <w:numId w:val="0"/>
      </w:numPr>
      <w:spacing w:before="340" w:beforeLines="0" w:after="330" w:afterLines="0" w:line="578" w:lineRule="auto"/>
      <w:ind w:firstLine="200" w:firstLineChars="200"/>
      <w:jc w:val="both"/>
      <w:outlineLvl w:val="9"/>
    </w:pPr>
    <w:rPr>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7.png"/><Relationship Id="rId23" Type="http://schemas.openxmlformats.org/officeDocument/2006/relationships/image" Target="media/image6.jpeg"/><Relationship Id="rId22" Type="http://schemas.openxmlformats.org/officeDocument/2006/relationships/image" Target="media/image5.png"/><Relationship Id="rId21" Type="http://schemas.openxmlformats.org/officeDocument/2006/relationships/image" Target="../NULL"/><Relationship Id="rId20" Type="http://schemas.openxmlformats.org/officeDocument/2006/relationships/image" Target="media/image3.jpe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6962</Words>
  <Characters>7573</Characters>
  <Lines>61</Lines>
  <Paragraphs>17</Paragraphs>
  <TotalTime>0</TotalTime>
  <ScaleCrop>false</ScaleCrop>
  <LinksUpToDate>false</LinksUpToDate>
  <CharactersWithSpaces>7683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2021-03-18T03:17:00Z</dcterms:created>
  <dc:creator>PC</dc:creator>
  <cp:lastModifiedBy>WPS_1615093619</cp:lastModifiedBy>
  <cp:lastPrinted>2024-10-29T09:54:00Z</cp:lastPrinted>
  <dcterms:modified xsi:type="dcterms:W3CDTF">2025-03-12T08:04:01Z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23D330AC588D41F88EF3CE33412C657F_12</vt:lpwstr>
  </property>
  <property fmtid="{D5CDD505-2E9C-101B-9397-08002B2CF9AE}" pid="4" name="KSOTemplateDocerSaveRecord">
    <vt:lpwstr>eyJoZGlkIjoiNmNjMWIzZTY1ZDM3ZjhiNzQzMGI1M2Y4Yzk4NWRlOTUiLCJ1c2VySWQiOiIxMTY5MDkyNTI1In0=</vt:lpwstr>
  </property>
</Properties>
</file>